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"/>
        <w:gridCol w:w="810"/>
        <w:gridCol w:w="3103"/>
        <w:gridCol w:w="3045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Alerta naranja se mantiene para los 82 cantones del país</w:t>
            </w:r>
          </w:p>
          <w:p w:rsidR="00000000" w:rsidRDefault="008F2556">
            <w:pPr>
              <w:pStyle w:val="Prrafodelista"/>
              <w:spacing w:line="240" w:lineRule="auto"/>
              <w:ind w:left="567" w:right="737"/>
              <w:jc w:val="both"/>
              <w:rPr>
                <w:b/>
                <w:bCs/>
                <w:iCs/>
                <w:sz w:val="24"/>
                <w:szCs w:val="24"/>
                <w:lang w:val="es-ES"/>
              </w:rPr>
            </w:pPr>
          </w:p>
          <w:p w:rsidR="00000000" w:rsidRDefault="008F25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Semana Epidemiológica #20 cerró con 16.109 casos nuevos por contagio de COVID-19</w:t>
            </w:r>
          </w:p>
          <w:p w:rsidR="00000000" w:rsidRDefault="008F2556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F25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Cantón central de San José, Alajuela y Desamparados son </w:t>
            </w:r>
            <w:r>
              <w:rPr>
                <w:rFonts w:ascii="Arial" w:hAnsi="Arial" w:cs="Arial"/>
                <w:i/>
                <w:lang w:val="es-ES"/>
              </w:rPr>
              <w:t>los cantones que reúnen el 20,5% de los casos de la semana (3.301)</w:t>
            </w:r>
          </w:p>
          <w:p w:rsidR="00000000" w:rsidRDefault="008F2556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F25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Esta semana, no hay cantones que desciendan su nivel de alerta amarilla. País sigue en condición de alto riesgo de contagio</w:t>
            </w:r>
          </w:p>
          <w:p w:rsidR="00000000" w:rsidRDefault="008F2556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 </w:t>
            </w:r>
          </w:p>
          <w:p w:rsidR="00000000" w:rsidRDefault="008F255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Autoridades piden no bajar la guardia y acatar las medidas san</w:t>
            </w:r>
            <w:r>
              <w:rPr>
                <w:rFonts w:ascii="Arial" w:hAnsi="Arial" w:cs="Arial"/>
                <w:i/>
                <w:lang w:val="es-ES"/>
              </w:rPr>
              <w:t>itarias para la prevención.</w:t>
            </w:r>
          </w:p>
          <w:p w:rsidR="00000000" w:rsidRDefault="008F2556">
            <w:pPr>
              <w:rPr>
                <w:b/>
                <w:bCs/>
                <w:iCs/>
              </w:rPr>
            </w:pP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  <w:t>San José, 25 de mayo del 2021.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s-CR"/>
              </w:rPr>
              <w:t>La Sala de Análisis de la Situación Nacional (SASN) registró más de 16.109 casos entre el 16 y 22 de mayo, siendo la segunda con más casos reportados desde el inicio de la pandemia. Por esa razón,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el Centro de Operaciones en Emergencia y la Comisión Nacional de Prevención de Riesgos y Atención de Emergencias (CNE) decidieron mantener la alerta naranja en los 82 cantones.</w:t>
            </w: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Al mantener los 82 cantones en alerta naranja, se le recuerda a la población que el nivel de contagio es muy alto, y que se requiere el cumplimiento de las medidas sanitarias en el día a día.</w:t>
            </w:r>
          </w:p>
          <w:p w:rsidR="00000000" w:rsidRDefault="008F255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Los Comités Municipales de Emergencia están trabajando según su</w:t>
            </w:r>
            <w:r>
              <w:rPr>
                <w:rFonts w:ascii="Arial" w:hAnsi="Arial" w:cs="Arial"/>
                <w:color w:val="000000"/>
                <w:lang w:eastAsia="es-CR"/>
              </w:rPr>
              <w:t>s Planes Cantonales de Prevención, dando seguimiento a los comercios para el cumplimiento de medidas sanitarias en los establecimientos, así como impulsando campañas de sensibilización mediante redes sociales, mensajerías como WhatsApp, perifoneo y mantas.</w:t>
            </w: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“Destacamos el gran trabajo que nace desde las bases comunitarias, a través de las instituciones del cantón, las organizaciones de vecinos, las iglesias, los jóvenes. Sin duda, que el país entero está asumiendo con responsabilidad y seriedad esta lucha p</w:t>
            </w:r>
            <w:r>
              <w:rPr>
                <w:rFonts w:ascii="Arial" w:hAnsi="Arial" w:cs="Arial"/>
                <w:color w:val="000000"/>
                <w:lang w:eastAsia="es-CR"/>
              </w:rPr>
              <w:t>ara proteger la vida y la salud”, explicó Alexander Solís.</w:t>
            </w: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8F2556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En la reciente semana, el 20% de los casos se concentraron en tres cantones: Alajuela (1.289), San José (1.221) y Desamparados (791).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25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8F255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196">
    <w:abstractNumId w:val="0"/>
  </w:num>
  <w:num w:numId="2" w16cid:durableId="13820965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56"/>
    <w:rsid w:val="008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2022-05-13T20:06:00Z</dcterms:created>
  <dcterms:modified xsi:type="dcterms:W3CDTF">2022-05-13T20:06:00Z</dcterms:modified>
</cp:coreProperties>
</file>