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2"/>
        <w:gridCol w:w="816"/>
        <w:gridCol w:w="3211"/>
        <w:gridCol w:w="3020"/>
        <w:gridCol w:w="283"/>
        <w:gridCol w:w="222"/>
      </w:tblGrid>
      <w:tr w:rsidR="00000000" w14:paraId="7C16EFB5" w14:textId="77777777">
        <w:tc>
          <w:tcPr>
            <w:tcW w:w="270" w:type="dxa"/>
            <w:tcBorders>
              <w:top w:val="single" w:sz="4" w:space="0" w:color="auto"/>
              <w:left w:val="single" w:sz="4" w:space="0" w:color="auto"/>
              <w:bottom w:val="single" w:sz="4" w:space="0" w:color="auto"/>
              <w:right w:val="single" w:sz="4" w:space="0" w:color="auto"/>
            </w:tcBorders>
          </w:tcPr>
          <w:p w14:paraId="6E109B2D" w14:textId="77777777" w:rsidR="00000000" w:rsidRDefault="006128A8">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14:paraId="0E1E0D7A" w14:textId="77777777" w:rsidR="00000000" w:rsidRDefault="006128A8">
            <w:pPr>
              <w:pStyle w:val="Ttulo1"/>
              <w:jc w:val="center"/>
              <w:rPr>
                <w:rFonts w:ascii="Arial" w:hAnsi="Arial" w:cs="Arial"/>
                <w:lang w:eastAsia="es-CR"/>
              </w:rPr>
            </w:pPr>
            <w:r>
              <w:rPr>
                <w:rFonts w:ascii="Arial" w:hAnsi="Arial" w:cs="Arial"/>
                <w:lang w:eastAsia="es-CR"/>
              </w:rPr>
              <w:t>91 familias de Nueva Cinchona ya cuentan con el título de propiedad de sus viviendas</w:t>
            </w:r>
          </w:p>
          <w:p w14:paraId="31F7CC2D" w14:textId="77777777" w:rsidR="00000000" w:rsidRDefault="006128A8">
            <w:pPr>
              <w:spacing w:after="0" w:line="240" w:lineRule="auto"/>
              <w:jc w:val="center"/>
              <w:rPr>
                <w:rFonts w:ascii="Calibri" w:hAnsi="Calibri" w:cs="Calibri"/>
                <w:bCs/>
                <w:color w:val="000000"/>
                <w:sz w:val="40"/>
                <w:szCs w:val="40"/>
                <w:lang w:eastAsia="es-CR"/>
              </w:rPr>
            </w:pPr>
            <w:r>
              <w:rPr>
                <w:noProof/>
              </w:rPr>
              <w:drawing>
                <wp:inline distT="0" distB="0" distL="0" distR="0" wp14:anchorId="5352E06D" wp14:editId="2D788732">
                  <wp:extent cx="4572000" cy="3045460"/>
                  <wp:effectExtent l="0" t="0" r="0" b="254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p>
          <w:p w14:paraId="0A609F6F" w14:textId="77777777" w:rsidR="00000000" w:rsidRDefault="006128A8">
            <w:pPr>
              <w:spacing w:after="0" w:line="240" w:lineRule="auto"/>
              <w:jc w:val="both"/>
              <w:rPr>
                <w:rFonts w:ascii="Arial" w:hAnsi="Arial" w:cs="Arial"/>
                <w:bCs/>
                <w:color w:val="000000"/>
                <w:sz w:val="24"/>
                <w:szCs w:val="24"/>
                <w:lang w:eastAsia="es-CR"/>
              </w:rPr>
            </w:pPr>
            <w:r>
              <w:rPr>
                <w:rFonts w:ascii="Arial" w:hAnsi="Arial" w:cs="Arial"/>
                <w:bCs/>
                <w:color w:val="000000"/>
                <w:sz w:val="24"/>
                <w:szCs w:val="24"/>
                <w:lang w:eastAsia="es-CR"/>
              </w:rPr>
              <w:t>•</w:t>
            </w:r>
            <w:r>
              <w:rPr>
                <w:rFonts w:ascii="Arial" w:hAnsi="Arial" w:cs="Arial"/>
                <w:bCs/>
                <w:color w:val="000000"/>
                <w:sz w:val="24"/>
                <w:szCs w:val="24"/>
                <w:lang w:eastAsia="es-CR"/>
              </w:rPr>
              <w:tab/>
              <w:t>La Ley 9429 le otorgó el permiso a la CNE para la donación de las viviendas</w:t>
            </w:r>
          </w:p>
          <w:p w14:paraId="37D12AEF" w14:textId="77777777" w:rsidR="00000000" w:rsidRDefault="006128A8">
            <w:pPr>
              <w:spacing w:after="0" w:line="240" w:lineRule="auto"/>
              <w:jc w:val="both"/>
              <w:rPr>
                <w:rFonts w:ascii="Arial" w:hAnsi="Arial" w:cs="Arial"/>
                <w:bCs/>
                <w:color w:val="000000"/>
                <w:sz w:val="24"/>
                <w:szCs w:val="24"/>
                <w:lang w:eastAsia="es-CR"/>
              </w:rPr>
            </w:pPr>
            <w:r>
              <w:rPr>
                <w:rFonts w:ascii="Arial" w:hAnsi="Arial" w:cs="Arial"/>
                <w:bCs/>
                <w:color w:val="000000"/>
                <w:sz w:val="24"/>
                <w:szCs w:val="24"/>
                <w:lang w:eastAsia="es-CR"/>
              </w:rPr>
              <w:t>•</w:t>
            </w:r>
            <w:r>
              <w:rPr>
                <w:rFonts w:ascii="Arial" w:hAnsi="Arial" w:cs="Arial"/>
                <w:bCs/>
                <w:color w:val="000000"/>
                <w:sz w:val="24"/>
                <w:szCs w:val="24"/>
                <w:lang w:eastAsia="es-CR"/>
              </w:rPr>
              <w:tab/>
              <w:t xml:space="preserve">En total, 380 familias recibirán el </w:t>
            </w:r>
            <w:r>
              <w:rPr>
                <w:rFonts w:ascii="Arial" w:hAnsi="Arial" w:cs="Arial"/>
                <w:bCs/>
                <w:color w:val="000000"/>
                <w:sz w:val="24"/>
                <w:szCs w:val="24"/>
                <w:lang w:eastAsia="es-CR"/>
              </w:rPr>
              <w:t>título de propiedad en diferentes partes del país donde la CNE ejecutó proyectos de solución habitacional por emergencia.</w:t>
            </w:r>
          </w:p>
          <w:p w14:paraId="6E68E2D8" w14:textId="77777777" w:rsidR="00000000" w:rsidRDefault="006128A8">
            <w:pPr>
              <w:spacing w:after="0" w:line="240" w:lineRule="auto"/>
              <w:jc w:val="both"/>
              <w:rPr>
                <w:rFonts w:ascii="Arial" w:hAnsi="Arial" w:cs="Arial"/>
                <w:bCs/>
                <w:i/>
                <w:iCs/>
                <w:color w:val="000000"/>
                <w:sz w:val="20"/>
                <w:szCs w:val="20"/>
                <w:lang w:eastAsia="es-CR"/>
              </w:rPr>
            </w:pPr>
          </w:p>
          <w:p w14:paraId="48D3785F" w14:textId="77777777" w:rsidR="00000000" w:rsidRDefault="006128A8">
            <w:pPr>
              <w:spacing w:after="0" w:line="240" w:lineRule="auto"/>
              <w:jc w:val="both"/>
              <w:rPr>
                <w:rFonts w:ascii="Arial" w:hAnsi="Arial" w:cs="Arial"/>
                <w:bCs/>
                <w:color w:val="000000"/>
                <w:sz w:val="24"/>
                <w:szCs w:val="24"/>
                <w:lang w:eastAsia="es-CR"/>
              </w:rPr>
            </w:pPr>
            <w:r>
              <w:rPr>
                <w:rFonts w:ascii="Arial" w:hAnsi="Arial" w:cs="Arial"/>
                <w:bCs/>
                <w:i/>
                <w:iCs/>
                <w:color w:val="000000"/>
                <w:sz w:val="20"/>
                <w:szCs w:val="20"/>
                <w:lang w:eastAsia="es-CR"/>
              </w:rPr>
              <w:t>San José, 24 de noviembre del 2019.</w:t>
            </w:r>
            <w:r>
              <w:rPr>
                <w:rFonts w:ascii="Arial" w:hAnsi="Arial" w:cs="Arial"/>
                <w:bCs/>
                <w:color w:val="000000"/>
                <w:sz w:val="20"/>
                <w:szCs w:val="20"/>
                <w:lang w:eastAsia="es-CR"/>
              </w:rPr>
              <w:t xml:space="preserve"> </w:t>
            </w:r>
            <w:r>
              <w:rPr>
                <w:rFonts w:ascii="Arial" w:hAnsi="Arial" w:cs="Arial"/>
                <w:bCs/>
                <w:color w:val="000000"/>
                <w:sz w:val="24"/>
                <w:szCs w:val="24"/>
                <w:lang w:eastAsia="es-CR"/>
              </w:rPr>
              <w:t>El día de hoy 91 familias recibieron por parte de la Comisión Nacional de Prevención de Riesgos y</w:t>
            </w:r>
            <w:r>
              <w:rPr>
                <w:rFonts w:ascii="Arial" w:hAnsi="Arial" w:cs="Arial"/>
                <w:bCs/>
                <w:color w:val="000000"/>
                <w:sz w:val="24"/>
                <w:szCs w:val="24"/>
                <w:lang w:eastAsia="es-CR"/>
              </w:rPr>
              <w:t xml:space="preserve"> Atención de Emergencias (CNE) la segregación y traspaso de lotes y casas en Nueva Cinchona.</w:t>
            </w:r>
          </w:p>
          <w:p w14:paraId="73BDB0BF" w14:textId="77777777" w:rsidR="00000000" w:rsidRDefault="006128A8">
            <w:pPr>
              <w:spacing w:after="0" w:line="240" w:lineRule="auto"/>
              <w:jc w:val="both"/>
              <w:rPr>
                <w:rFonts w:ascii="Arial" w:hAnsi="Arial" w:cs="Arial"/>
                <w:bCs/>
                <w:color w:val="000000"/>
                <w:sz w:val="24"/>
                <w:szCs w:val="24"/>
                <w:lang w:eastAsia="es-CR"/>
              </w:rPr>
            </w:pPr>
            <w:r>
              <w:rPr>
                <w:rFonts w:ascii="Arial" w:hAnsi="Arial" w:cs="Arial"/>
                <w:bCs/>
                <w:color w:val="000000"/>
                <w:sz w:val="24"/>
                <w:szCs w:val="24"/>
                <w:lang w:eastAsia="es-CR"/>
              </w:rPr>
              <w:t xml:space="preserve">Estas familias se convierten en dueñas de sus viviendas legalmente hasta este año ya que anteriormente, la CNE no contaba con la autorización legal para traspasar </w:t>
            </w:r>
            <w:r>
              <w:rPr>
                <w:rFonts w:ascii="Arial" w:hAnsi="Arial" w:cs="Arial"/>
                <w:bCs/>
                <w:color w:val="000000"/>
                <w:sz w:val="24"/>
                <w:szCs w:val="24"/>
                <w:lang w:eastAsia="es-CR"/>
              </w:rPr>
              <w:t xml:space="preserve">las propiedades a los particulares. </w:t>
            </w:r>
          </w:p>
          <w:p w14:paraId="4F32803A" w14:textId="77777777" w:rsidR="00000000" w:rsidRDefault="006128A8">
            <w:pPr>
              <w:spacing w:after="0" w:line="240" w:lineRule="auto"/>
              <w:jc w:val="both"/>
              <w:rPr>
                <w:rFonts w:ascii="Arial" w:hAnsi="Arial" w:cs="Arial"/>
                <w:bCs/>
                <w:color w:val="000000"/>
                <w:sz w:val="24"/>
                <w:szCs w:val="24"/>
                <w:lang w:eastAsia="es-CR"/>
              </w:rPr>
            </w:pPr>
            <w:r>
              <w:rPr>
                <w:rFonts w:ascii="Arial" w:hAnsi="Arial" w:cs="Arial"/>
                <w:bCs/>
                <w:color w:val="000000"/>
                <w:sz w:val="24"/>
                <w:szCs w:val="24"/>
                <w:lang w:eastAsia="es-CR"/>
              </w:rPr>
              <w:t xml:space="preserve">Para ello se tuvo que crear la Ley 9429, que le otorgó a la CNE la autorización necesaria para la donación de las viviendas a la sociedad civil. </w:t>
            </w:r>
          </w:p>
          <w:p w14:paraId="5F6E2030" w14:textId="77777777" w:rsidR="00000000" w:rsidRDefault="006128A8">
            <w:pPr>
              <w:spacing w:after="0" w:line="240" w:lineRule="auto"/>
              <w:jc w:val="center"/>
              <w:rPr>
                <w:rFonts w:ascii="Arial" w:hAnsi="Arial" w:cs="Arial"/>
                <w:bCs/>
                <w:color w:val="000000"/>
                <w:sz w:val="24"/>
                <w:szCs w:val="24"/>
                <w:lang w:eastAsia="es-CR"/>
              </w:rPr>
            </w:pPr>
            <w:r>
              <w:rPr>
                <w:noProof/>
              </w:rPr>
              <w:lastRenderedPageBreak/>
              <w:drawing>
                <wp:inline distT="0" distB="0" distL="0" distR="0" wp14:anchorId="03E75B97" wp14:editId="5DB15BD6">
                  <wp:extent cx="4516120" cy="3013710"/>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6120" cy="3013710"/>
                          </a:xfrm>
                          <a:prstGeom prst="rect">
                            <a:avLst/>
                          </a:prstGeom>
                          <a:noFill/>
                          <a:ln>
                            <a:noFill/>
                          </a:ln>
                        </pic:spPr>
                      </pic:pic>
                    </a:graphicData>
                  </a:graphic>
                </wp:inline>
              </w:drawing>
            </w:r>
          </w:p>
          <w:p w14:paraId="1ED5B997" w14:textId="77777777" w:rsidR="00000000" w:rsidRDefault="006128A8">
            <w:pPr>
              <w:spacing w:after="0" w:line="240" w:lineRule="auto"/>
              <w:jc w:val="both"/>
              <w:rPr>
                <w:rFonts w:ascii="Arial" w:hAnsi="Arial" w:cs="Arial"/>
                <w:bCs/>
                <w:color w:val="000000"/>
                <w:sz w:val="24"/>
                <w:szCs w:val="24"/>
                <w:lang w:eastAsia="es-CR"/>
              </w:rPr>
            </w:pPr>
            <w:r>
              <w:rPr>
                <w:rFonts w:ascii="Arial" w:hAnsi="Arial" w:cs="Arial"/>
                <w:bCs/>
                <w:color w:val="000000"/>
                <w:sz w:val="24"/>
                <w:szCs w:val="24"/>
                <w:lang w:eastAsia="es-CR"/>
              </w:rPr>
              <w:t>Siendo así, que, a partir de este momento, se les garantiza a las perso</w:t>
            </w:r>
            <w:r>
              <w:rPr>
                <w:rFonts w:ascii="Arial" w:hAnsi="Arial" w:cs="Arial"/>
                <w:bCs/>
                <w:color w:val="000000"/>
                <w:sz w:val="24"/>
                <w:szCs w:val="24"/>
                <w:lang w:eastAsia="es-CR"/>
              </w:rPr>
              <w:t xml:space="preserve">nas que recibieron sus casas tras la emergencia, contar con un título de propiedad que los respalda como dueños de sus viviendas, puesto que, con la condición actual, estas familias habitaban en calidad de “préstamo” de las mismas. </w:t>
            </w:r>
          </w:p>
          <w:p w14:paraId="083D9BC4" w14:textId="77777777" w:rsidR="00000000" w:rsidRDefault="006128A8">
            <w:pPr>
              <w:spacing w:after="0" w:line="240" w:lineRule="auto"/>
              <w:jc w:val="both"/>
              <w:rPr>
                <w:rFonts w:ascii="Arial" w:hAnsi="Arial" w:cs="Arial"/>
                <w:bCs/>
                <w:color w:val="000000"/>
                <w:sz w:val="24"/>
                <w:szCs w:val="24"/>
                <w:lang w:eastAsia="es-CR"/>
              </w:rPr>
            </w:pPr>
            <w:r>
              <w:rPr>
                <w:rFonts w:ascii="Arial" w:hAnsi="Arial" w:cs="Arial"/>
                <w:bCs/>
                <w:color w:val="000000"/>
                <w:sz w:val="24"/>
                <w:szCs w:val="24"/>
                <w:lang w:eastAsia="es-CR"/>
              </w:rPr>
              <w:t>El señor Nelson Villane</w:t>
            </w:r>
            <w:r>
              <w:rPr>
                <w:rFonts w:ascii="Arial" w:hAnsi="Arial" w:cs="Arial"/>
                <w:bCs/>
                <w:color w:val="000000"/>
                <w:sz w:val="24"/>
                <w:szCs w:val="24"/>
                <w:lang w:eastAsia="es-CR"/>
              </w:rPr>
              <w:t>a, presidente de la Asociación de Desarrollo de Nueva Cinchona, manifestó el agradecimiento por la entrega de los títulos de propiedad pues representa una de las etapas finales que los apropia de su vivienda, y agradeció a los diferentes entes gubernamenta</w:t>
            </w:r>
            <w:r>
              <w:rPr>
                <w:rFonts w:ascii="Arial" w:hAnsi="Arial" w:cs="Arial"/>
                <w:bCs/>
                <w:color w:val="000000"/>
                <w:sz w:val="24"/>
                <w:szCs w:val="24"/>
                <w:lang w:eastAsia="es-CR"/>
              </w:rPr>
              <w:t>les que participaron en la construcción de la nueva comunidad, ya que siempre estuvieron pendientes en que el proyecto cubriera las necesidades de la población.</w:t>
            </w:r>
          </w:p>
          <w:p w14:paraId="3E8D73BD" w14:textId="77777777" w:rsidR="00000000" w:rsidRDefault="006128A8">
            <w:pPr>
              <w:spacing w:after="0" w:line="240" w:lineRule="auto"/>
              <w:jc w:val="center"/>
              <w:rPr>
                <w:rFonts w:ascii="Arial" w:hAnsi="Arial" w:cs="Arial"/>
                <w:bCs/>
                <w:color w:val="000000"/>
                <w:sz w:val="24"/>
                <w:szCs w:val="24"/>
                <w:lang w:eastAsia="es-CR"/>
              </w:rPr>
            </w:pPr>
            <w:r>
              <w:rPr>
                <w:rFonts w:ascii="Arial" w:hAnsi="Arial" w:cs="Arial"/>
                <w:noProof/>
                <w:color w:val="000000"/>
                <w:sz w:val="24"/>
                <w:szCs w:val="24"/>
                <w:lang w:eastAsia="es-CR"/>
              </w:rPr>
              <w:drawing>
                <wp:inline distT="0" distB="0" distL="0" distR="0" wp14:anchorId="781D127B" wp14:editId="0E5AEE8D">
                  <wp:extent cx="4516120" cy="3013710"/>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6120" cy="3013710"/>
                          </a:xfrm>
                          <a:prstGeom prst="rect">
                            <a:avLst/>
                          </a:prstGeom>
                          <a:noFill/>
                          <a:ln>
                            <a:noFill/>
                          </a:ln>
                        </pic:spPr>
                      </pic:pic>
                    </a:graphicData>
                  </a:graphic>
                </wp:inline>
              </w:drawing>
            </w:r>
          </w:p>
          <w:p w14:paraId="539DE2B7" w14:textId="77777777" w:rsidR="00000000" w:rsidRDefault="006128A8">
            <w:pPr>
              <w:spacing w:after="0" w:line="240" w:lineRule="auto"/>
              <w:jc w:val="both"/>
              <w:rPr>
                <w:rFonts w:ascii="Arial" w:hAnsi="Arial" w:cs="Arial"/>
                <w:bCs/>
                <w:color w:val="000000"/>
                <w:sz w:val="24"/>
                <w:szCs w:val="24"/>
                <w:lang w:eastAsia="es-CR"/>
              </w:rPr>
            </w:pPr>
            <w:r>
              <w:rPr>
                <w:rFonts w:ascii="Arial" w:hAnsi="Arial" w:cs="Arial"/>
                <w:bCs/>
                <w:color w:val="000000"/>
                <w:sz w:val="24"/>
                <w:szCs w:val="24"/>
                <w:lang w:eastAsia="es-CR"/>
              </w:rPr>
              <w:t>Este domingo, se entregaron 91 títulos de propiedad de un total de 380 familias que habitan e</w:t>
            </w:r>
            <w:r>
              <w:rPr>
                <w:rFonts w:ascii="Arial" w:hAnsi="Arial" w:cs="Arial"/>
                <w:bCs/>
                <w:color w:val="000000"/>
                <w:sz w:val="24"/>
                <w:szCs w:val="24"/>
                <w:lang w:eastAsia="es-CR"/>
              </w:rPr>
              <w:t xml:space="preserve">n viviendas construidas por la CNE producto de diferentes emergencias.  El presidente de la CNE, Alexánder Solís, señaló que la administración está cumpliendo con </w:t>
            </w:r>
            <w:r>
              <w:rPr>
                <w:rFonts w:ascii="Arial" w:hAnsi="Arial" w:cs="Arial"/>
                <w:bCs/>
                <w:color w:val="000000"/>
                <w:sz w:val="24"/>
                <w:szCs w:val="24"/>
                <w:lang w:eastAsia="es-CR"/>
              </w:rPr>
              <w:lastRenderedPageBreak/>
              <w:t>una deuda pendiente con 380 familias que habitan en soluciones habitacionales al ser impactad</w:t>
            </w:r>
            <w:r>
              <w:rPr>
                <w:rFonts w:ascii="Arial" w:hAnsi="Arial" w:cs="Arial"/>
                <w:bCs/>
                <w:color w:val="000000"/>
                <w:sz w:val="24"/>
                <w:szCs w:val="24"/>
                <w:lang w:eastAsia="es-CR"/>
              </w:rPr>
              <w:t>as por diferentes emergencias en San José, Guanacaste, Limón, Parrita en Puntarenas y algunos sitios de la Zona Sur.</w:t>
            </w:r>
          </w:p>
          <w:p w14:paraId="6B0F6423" w14:textId="77777777" w:rsidR="00000000" w:rsidRDefault="006128A8">
            <w:pPr>
              <w:spacing w:after="0" w:line="240" w:lineRule="auto"/>
              <w:jc w:val="both"/>
              <w:rPr>
                <w:rFonts w:ascii="Arial" w:hAnsi="Arial" w:cs="Arial"/>
                <w:bCs/>
                <w:color w:val="000000"/>
                <w:sz w:val="24"/>
                <w:szCs w:val="24"/>
                <w:lang w:eastAsia="es-CR"/>
              </w:rPr>
            </w:pPr>
          </w:p>
          <w:p w14:paraId="488194DD" w14:textId="77777777" w:rsidR="00000000" w:rsidRDefault="006128A8">
            <w:pPr>
              <w:spacing w:after="0" w:line="240" w:lineRule="auto"/>
              <w:jc w:val="center"/>
              <w:rPr>
                <w:rFonts w:ascii="Arial" w:hAnsi="Arial" w:cs="Arial"/>
                <w:bCs/>
                <w:color w:val="000000"/>
                <w:sz w:val="24"/>
                <w:szCs w:val="24"/>
                <w:lang w:eastAsia="es-CR"/>
              </w:rPr>
            </w:pPr>
            <w:r>
              <w:rPr>
                <w:noProof/>
              </w:rPr>
              <w:drawing>
                <wp:inline distT="0" distB="0" distL="0" distR="0" wp14:anchorId="517E400F" wp14:editId="736C5910">
                  <wp:extent cx="4492625" cy="2989580"/>
                  <wp:effectExtent l="0" t="0" r="3175" b="127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2625" cy="2989580"/>
                          </a:xfrm>
                          <a:prstGeom prst="rect">
                            <a:avLst/>
                          </a:prstGeom>
                          <a:noFill/>
                          <a:ln>
                            <a:noFill/>
                          </a:ln>
                        </pic:spPr>
                      </pic:pic>
                    </a:graphicData>
                  </a:graphic>
                </wp:inline>
              </w:drawing>
            </w:r>
          </w:p>
          <w:p w14:paraId="2E38CFC2" w14:textId="77777777" w:rsidR="00000000" w:rsidRDefault="006128A8">
            <w:pPr>
              <w:spacing w:after="0" w:line="240" w:lineRule="auto"/>
              <w:jc w:val="center"/>
              <w:rPr>
                <w:rFonts w:ascii="Calibri" w:hAnsi="Calibri" w:cs="Calibri"/>
                <w:bCs/>
                <w:color w:val="000000"/>
                <w:sz w:val="40"/>
                <w:szCs w:val="40"/>
                <w:lang w:eastAsia="es-CR"/>
              </w:rPr>
            </w:pPr>
            <w:r>
              <w:rPr>
                <w:rFonts w:ascii="Calibri" w:hAnsi="Calibri" w:cs="Calibri"/>
                <w:noProof/>
                <w:color w:val="000000"/>
                <w:sz w:val="40"/>
                <w:szCs w:val="40"/>
                <w:lang w:eastAsia="es-CR"/>
              </w:rPr>
              <w:drawing>
                <wp:inline distT="0" distB="0" distL="0" distR="0" wp14:anchorId="1EA19DF2" wp14:editId="39350C61">
                  <wp:extent cx="4531995" cy="3999230"/>
                  <wp:effectExtent l="0" t="0" r="1905" b="1270"/>
                  <wp:docPr id="5"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captura de pantall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1995" cy="3999230"/>
                          </a:xfrm>
                          <a:prstGeom prst="rect">
                            <a:avLst/>
                          </a:prstGeom>
                          <a:noFill/>
                          <a:ln>
                            <a:noFill/>
                          </a:ln>
                        </pic:spPr>
                      </pic:pic>
                    </a:graphicData>
                  </a:graphic>
                </wp:inline>
              </w:drawing>
            </w:r>
          </w:p>
          <w:p w14:paraId="5487076A" w14:textId="77777777" w:rsidR="00000000" w:rsidRDefault="006128A8">
            <w:pPr>
              <w:spacing w:after="0" w:line="240" w:lineRule="auto"/>
              <w:jc w:val="center"/>
              <w:rPr>
                <w:rFonts w:ascii="Calibri" w:hAnsi="Calibri" w:cs="Calibri"/>
                <w:bCs/>
                <w:color w:val="000000"/>
                <w:sz w:val="40"/>
                <w:szCs w:val="40"/>
                <w:lang w:eastAsia="es-CR"/>
              </w:rPr>
            </w:pPr>
            <w:r>
              <w:rPr>
                <w:noProof/>
              </w:rPr>
              <w:drawing>
                <wp:inline distT="0" distB="0" distL="0" distR="0" wp14:anchorId="4328B94F" wp14:editId="0C59DDE6">
                  <wp:extent cx="4468495" cy="2981960"/>
                  <wp:effectExtent l="0" t="0" r="8255" b="889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8495" cy="2981960"/>
                          </a:xfrm>
                          <a:prstGeom prst="rect">
                            <a:avLst/>
                          </a:prstGeom>
                          <a:noFill/>
                          <a:ln>
                            <a:noFill/>
                          </a:ln>
                        </pic:spPr>
                      </pic:pic>
                    </a:graphicData>
                  </a:graphic>
                </wp:inline>
              </w:drawing>
            </w:r>
          </w:p>
          <w:p w14:paraId="5B34415A" w14:textId="77777777" w:rsidR="00000000" w:rsidRDefault="006128A8">
            <w:pPr>
              <w:spacing w:after="0" w:line="240" w:lineRule="auto"/>
              <w:jc w:val="both"/>
              <w:rPr>
                <w:rFonts w:ascii="Calibri" w:hAnsi="Calibri" w:cs="Calibri"/>
                <w:bCs/>
                <w:color w:val="000000"/>
                <w:sz w:val="40"/>
                <w:szCs w:val="40"/>
                <w:lang w:eastAsia="es-CR"/>
              </w:rPr>
            </w:pPr>
          </w:p>
          <w:p w14:paraId="7EBBFD59" w14:textId="77777777" w:rsidR="00000000" w:rsidRDefault="006128A8">
            <w:pPr>
              <w:spacing w:after="0" w:line="240" w:lineRule="auto"/>
              <w:jc w:val="center"/>
              <w:rPr>
                <w:rFonts w:ascii="Calibri" w:hAnsi="Calibri" w:cs="Calibri"/>
                <w:bCs/>
                <w:color w:val="000000"/>
                <w:sz w:val="40"/>
                <w:szCs w:val="40"/>
                <w:lang w:eastAsia="es-CR"/>
              </w:rPr>
            </w:pPr>
            <w:r>
              <w:rPr>
                <w:noProof/>
              </w:rPr>
              <w:drawing>
                <wp:inline distT="0" distB="0" distL="0" distR="0" wp14:anchorId="6EA27DFE" wp14:editId="6AC87760">
                  <wp:extent cx="4524375" cy="3021330"/>
                  <wp:effectExtent l="0" t="0" r="9525" b="7620"/>
                  <wp:docPr id="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3021330"/>
                          </a:xfrm>
                          <a:prstGeom prst="rect">
                            <a:avLst/>
                          </a:prstGeom>
                          <a:noFill/>
                          <a:ln>
                            <a:noFill/>
                          </a:ln>
                        </pic:spPr>
                      </pic:pic>
                    </a:graphicData>
                  </a:graphic>
                </wp:inline>
              </w:drawing>
            </w:r>
          </w:p>
          <w:p w14:paraId="0CF32F81" w14:textId="77777777" w:rsidR="00000000" w:rsidRDefault="006128A8">
            <w:pPr>
              <w:spacing w:after="0" w:line="240" w:lineRule="auto"/>
              <w:jc w:val="center"/>
              <w:rPr>
                <w:rFonts w:ascii="Calibri" w:hAnsi="Calibri" w:cs="Calibri"/>
                <w:bCs/>
                <w:color w:val="000000"/>
                <w:sz w:val="40"/>
                <w:szCs w:val="40"/>
                <w:lang w:eastAsia="es-CR"/>
              </w:rPr>
            </w:pPr>
            <w:r>
              <w:rPr>
                <w:noProof/>
              </w:rPr>
              <w:drawing>
                <wp:inline distT="0" distB="0" distL="0" distR="0" wp14:anchorId="279892B1" wp14:editId="23404AAC">
                  <wp:extent cx="4484370" cy="2989580"/>
                  <wp:effectExtent l="0" t="0" r="0" b="1270"/>
                  <wp:docPr id="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4370" cy="2989580"/>
                          </a:xfrm>
                          <a:prstGeom prst="rect">
                            <a:avLst/>
                          </a:prstGeom>
                          <a:noFill/>
                          <a:ln>
                            <a:noFill/>
                          </a:ln>
                        </pic:spPr>
                      </pic:pic>
                    </a:graphicData>
                  </a:graphic>
                </wp:inline>
              </w:drawing>
            </w:r>
          </w:p>
        </w:tc>
        <w:tc>
          <w:tcPr>
            <w:tcW w:w="269" w:type="dxa"/>
            <w:tcBorders>
              <w:top w:val="single" w:sz="4" w:space="0" w:color="auto"/>
              <w:left w:val="single" w:sz="4" w:space="0" w:color="auto"/>
              <w:bottom w:val="single" w:sz="4" w:space="0" w:color="auto"/>
              <w:right w:val="single" w:sz="4" w:space="0" w:color="auto"/>
            </w:tcBorders>
          </w:tcPr>
          <w:p w14:paraId="68721831" w14:textId="77777777" w:rsidR="00000000" w:rsidRDefault="006128A8">
            <w:pPr>
              <w:spacing w:after="0" w:line="240" w:lineRule="auto"/>
              <w:jc w:val="center"/>
              <w:rPr>
                <w:bCs/>
                <w:color w:val="000000"/>
                <w:sz w:val="40"/>
                <w:szCs w:val="40"/>
                <w:lang w:eastAsia="es-CR"/>
              </w:rPr>
            </w:pPr>
          </w:p>
        </w:tc>
      </w:tr>
      <w:tr w:rsidR="00000000" w14:paraId="268D576E" w14:textId="77777777">
        <w:tc>
          <w:tcPr>
            <w:tcW w:w="270" w:type="dxa"/>
            <w:tcBorders>
              <w:top w:val="single" w:sz="4" w:space="0" w:color="auto"/>
              <w:left w:val="single" w:sz="4" w:space="0" w:color="auto"/>
              <w:bottom w:val="single" w:sz="4" w:space="0" w:color="auto"/>
              <w:right w:val="single" w:sz="4" w:space="0" w:color="auto"/>
            </w:tcBorders>
          </w:tcPr>
          <w:p w14:paraId="16F6DFC7" w14:textId="77777777" w:rsidR="00000000" w:rsidRDefault="006128A8">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14:paraId="17F393DC" w14:textId="77777777" w:rsidR="00000000" w:rsidRDefault="006128A8">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14:paraId="767C2C18" w14:textId="77777777" w:rsidR="00000000" w:rsidRDefault="006128A8">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14:paraId="14B4985F" w14:textId="77777777" w:rsidR="00000000" w:rsidRDefault="006128A8">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14:paraId="6F462D88" w14:textId="77777777" w:rsidR="00000000" w:rsidRDefault="006128A8">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724D9D02" w14:textId="77777777" w:rsidR="00000000" w:rsidRDefault="006128A8">
            <w:pPr>
              <w:spacing w:after="0" w:line="240" w:lineRule="auto"/>
              <w:jc w:val="center"/>
              <w:rPr>
                <w:bCs/>
                <w:color w:val="000000"/>
                <w:sz w:val="40"/>
                <w:szCs w:val="40"/>
                <w:lang w:eastAsia="es-CR"/>
              </w:rPr>
            </w:pPr>
          </w:p>
        </w:tc>
      </w:tr>
    </w:tbl>
    <w:p w14:paraId="175FDAA0" w14:textId="77777777" w:rsidR="00000000" w:rsidRDefault="006128A8">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8A8"/>
    <w:rsid w:val="006128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0B1ABD11"/>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328</Words>
  <Characters>1807</Characters>
  <Application>Microsoft Office Word</Application>
  <DocSecurity>0</DocSecurity>
  <Lines>15</Lines>
  <Paragraphs>4</Paragraphs>
  <ScaleCrop>false</ScaleCrop>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2022-05-13T17:22:00Z</dcterms:created>
  <dcterms:modified xsi:type="dcterms:W3CDTF">2022-05-13T17:22:00Z</dcterms:modified>
</cp:coreProperties>
</file>