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7"/>
        <w:gridCol w:w="804"/>
        <w:gridCol w:w="3102"/>
        <w:gridCol w:w="3051"/>
        <w:gridCol w:w="284"/>
        <w:gridCol w:w="266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631F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631F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cantones tienen distritos con alerta temprana por circulación de virus respiratorios</w:t>
            </w:r>
          </w:p>
          <w:p w:rsidR="00000000" w:rsidRDefault="0016631F"/>
          <w:p w:rsidR="00000000" w:rsidRDefault="0016631F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Autoridades </w:t>
            </w:r>
            <w:r>
              <w:rPr>
                <w:rFonts w:ascii="Arial" w:hAnsi="Arial" w:cs="Arial"/>
              </w:rPr>
              <w:t>de Salud y Comisión Nacional de Emergencias instan a las localidades a realizar labores preventivas que bajen el riesgo a pasar a alerta naranja.</w:t>
            </w:r>
          </w:p>
          <w:p w:rsidR="00000000" w:rsidRDefault="00166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Jueves 30 de julio, 2020.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La Comisión Nacional de Emergencias, la Caja Costarricense del Seguro Social y el Mi</w:t>
            </w:r>
            <w:r>
              <w:rPr>
                <w:rFonts w:ascii="Arial" w:hAnsi="Arial" w:cs="Arial"/>
              </w:rPr>
              <w:t>nisterio de Salud señalaron hoy el riesgo que tienen 51 distritos que actualmente se encuentran en alerta amarilla, pero presentan un incremento en las consultas por tos y fiebre, lo cual aumenta el riesgo de enfrentar una alerta naranja próximamente, dado</w:t>
            </w:r>
            <w:r>
              <w:rPr>
                <w:rFonts w:ascii="Arial" w:hAnsi="Arial" w:cs="Arial"/>
              </w:rPr>
              <w:t xml:space="preserve"> que son síntomas asociados al COVID-19.</w:t>
            </w:r>
          </w:p>
          <w:p w:rsidR="00000000" w:rsidRDefault="00166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51 distritos pertenecientes a 26 cantones, tiene un riesgo “alto” en la escala de alertas sindrómicas definida por la CCSS. La recomendación de las autoridades de salud para este tipo de localidades es:</w:t>
            </w:r>
          </w:p>
          <w:p w:rsidR="00000000" w:rsidRDefault="0016631F">
            <w:pPr>
              <w:pStyle w:val="Prrafodelista"/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Intensif</w:t>
            </w:r>
            <w:r>
              <w:rPr>
                <w:rFonts w:ascii="Arial" w:hAnsi="Arial" w:cs="Arial"/>
              </w:rPr>
              <w:t>icar la supervisión del cumplimiento de protocolos desde las policías municipales, con apoyo de las cámaras empresariales y la comunidad.</w:t>
            </w:r>
          </w:p>
          <w:p w:rsidR="00000000" w:rsidRDefault="0016631F">
            <w:pPr>
              <w:pStyle w:val="Prrafodelista"/>
              <w:ind w:left="360"/>
              <w:rPr>
                <w:rFonts w:ascii="Arial" w:hAnsi="Arial" w:cs="Arial"/>
              </w:rPr>
            </w:pPr>
          </w:p>
          <w:p w:rsidR="00000000" w:rsidRDefault="0016631F">
            <w:pPr>
              <w:pStyle w:val="Prrafodelista"/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Ampliar la difusión del mensaje de las medidas preventivas, indicando a la población el riesgo temprano en que se enc</w:t>
            </w:r>
            <w:r>
              <w:rPr>
                <w:rFonts w:ascii="Arial" w:hAnsi="Arial" w:cs="Arial"/>
              </w:rPr>
              <w:t>uentran como comunidad.</w:t>
            </w:r>
          </w:p>
          <w:p w:rsidR="00000000" w:rsidRDefault="0016631F">
            <w:pPr>
              <w:pStyle w:val="Prrafodelista"/>
              <w:ind w:left="360"/>
              <w:rPr>
                <w:rFonts w:ascii="Arial" w:hAnsi="Arial" w:cs="Arial"/>
              </w:rPr>
            </w:pPr>
          </w:p>
          <w:p w:rsidR="00000000" w:rsidRDefault="0016631F">
            <w:pPr>
              <w:pStyle w:val="Prrafodelista"/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Reforzar la atención territorial, con énfasis en los distritos que presentan riesgo aumentado.</w:t>
            </w:r>
          </w:p>
          <w:p w:rsidR="00000000" w:rsidRDefault="0016631F">
            <w:pPr>
              <w:pStyle w:val="Prrafodelista"/>
              <w:ind w:left="360"/>
              <w:rPr>
                <w:rFonts w:ascii="Arial" w:hAnsi="Arial" w:cs="Arial"/>
              </w:rPr>
            </w:pPr>
          </w:p>
          <w:p w:rsidR="00000000" w:rsidRDefault="0016631F">
            <w:pPr>
              <w:pStyle w:val="Prrafodelista"/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Aumentar el seguimiento cercano a las poblaciones de riesgo, las cuales son más vulnerables en caso de un posible brote futuro.</w:t>
            </w:r>
          </w:p>
          <w:p w:rsidR="00000000" w:rsidRDefault="0016631F">
            <w:pPr>
              <w:pStyle w:val="Prrafodelista"/>
              <w:ind w:left="360"/>
              <w:rPr>
                <w:rFonts w:ascii="Arial" w:hAnsi="Arial" w:cs="Arial"/>
              </w:rPr>
            </w:pPr>
          </w:p>
          <w:p w:rsidR="00000000" w:rsidRDefault="0016631F">
            <w:pPr>
              <w:pStyle w:val="Prrafodelista"/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 tom</w:t>
            </w:r>
            <w:r>
              <w:rPr>
                <w:rFonts w:ascii="Arial" w:hAnsi="Arial" w:cs="Arial"/>
              </w:rPr>
              <w:t>ando previsiones desde los Comités Municipales de Emergencia con el fin de visualizar la necesidad de un centro de aislamiento y los posibles espacios donde se podría ubicar.</w:t>
            </w:r>
          </w:p>
          <w:p w:rsidR="00000000" w:rsidRDefault="0016631F">
            <w:pPr>
              <w:pStyle w:val="Prrafodelista"/>
              <w:rPr>
                <w:rFonts w:ascii="Arial" w:hAnsi="Arial" w:cs="Arial"/>
              </w:rPr>
            </w:pPr>
          </w:p>
          <w:p w:rsidR="00000000" w:rsidRDefault="00166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“La previsión es básica en esta gestión de alertas tempranas, los espacios comun</w:t>
            </w:r>
            <w:r>
              <w:rPr>
                <w:rFonts w:ascii="Arial" w:hAnsi="Arial" w:cs="Arial"/>
              </w:rPr>
              <w:t>ales son idóneos para impulsar esta labor preventiva, trabajando de forma interinstitucional desde los Comités Municipales de Emergencia, y de esta forma crear soluciones con sensibilidad local” aseguró Priscilla Herrera, Directora General de Salud.</w:t>
            </w:r>
          </w:p>
          <w:p w:rsidR="00000000" w:rsidRDefault="00166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Desde la Sala de Situación, donde participan las entidades involucradas en la atención de la emergencia, se analizan semanalmente estos factores, así como otros indicadores que permiten darle seguimiento a la situación epidemiológica nacional.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631F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631F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631F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631F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631F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631F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631F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16631F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63F57"/>
    <w:multiLevelType w:val="hybridMultilevel"/>
    <w:tmpl w:val="6A1879D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8454A"/>
    <w:multiLevelType w:val="hybridMultilevel"/>
    <w:tmpl w:val="F670C5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481619">
    <w:abstractNumId w:val="1"/>
  </w:num>
  <w:num w:numId="2" w16cid:durableId="31025109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60437699">
    <w:abstractNumId w:val="0"/>
  </w:num>
  <w:num w:numId="4" w16cid:durableId="144264912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1F"/>
    <w:rsid w:val="0016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Sinespaciado">
    <w:name w:val="No Spacing"/>
    <w:uiPriority w:val="1"/>
    <w:qFormat/>
    <w:rPr>
      <w:sz w:val="22"/>
      <w:szCs w:val="22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2022-05-13T19:29:00Z</dcterms:created>
  <dcterms:modified xsi:type="dcterms:W3CDTF">2022-05-13T19:29:00Z</dcterms:modified>
</cp:coreProperties>
</file>