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26"/>
        <w:gridCol w:w="2986"/>
        <w:gridCol w:w="2952"/>
        <w:gridCol w:w="468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E0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E0F">
            <w:pPr>
              <w:pStyle w:val="Ttulo1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380 familias ya cuentan con su título de propiedad</w:t>
            </w:r>
          </w:p>
          <w:p w:rsidR="00000000" w:rsidRDefault="00716E0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57140" cy="3800475"/>
                  <wp:effectExtent l="0" t="0" r="0" b="9525"/>
                  <wp:docPr id="1" name="Imagen 2" descr="Grupo de personas, una sentadas y otras de pie muestran su título de propiedad. Están en una salón, los acompaña el presidente de la Comisión de Prevención de Riesgos y Atención de Emergencia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Grupo de personas, una sentadas y otras de pie muestran su título de propiedad. Están en una salón, los acompaña el presidente de la Comisión de Prevención de Riesgos y Atención de Emergencia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140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16E0F"/>
          <w:p w:rsidR="00000000" w:rsidRDefault="00716E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716E0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Para solventar las necesidades de las familias afectadas, se removieron a soluciones habitacionales en sitios seguros.</w:t>
            </w:r>
          </w:p>
          <w:p w:rsidR="00000000" w:rsidRDefault="00716E0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La CNE finiquita </w:t>
            </w:r>
            <w:r>
              <w:rPr>
                <w:rFonts w:ascii="Arial" w:hAnsi="Arial" w:cs="Arial"/>
                <w:i/>
                <w:szCs w:val="24"/>
              </w:rPr>
              <w:t>por medio de estas firmas un proyecto integral amparados en el Decreto de Emergencia Nº 34993-MP.</w:t>
            </w:r>
          </w:p>
          <w:p w:rsidR="00000000" w:rsidRDefault="00716E0F">
            <w:pPr>
              <w:pStyle w:val="Prrafodelista"/>
              <w:spacing w:after="0" w:line="240" w:lineRule="auto"/>
              <w:ind w:left="928"/>
              <w:jc w:val="both"/>
              <w:rPr>
                <w:rFonts w:ascii="Arial" w:hAnsi="Arial" w:cs="Arial"/>
                <w:i/>
                <w:szCs w:val="24"/>
              </w:rPr>
            </w:pPr>
          </w:p>
          <w:p w:rsidR="00000000" w:rsidRDefault="00716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San José, 21 de diciembre del 2019</w:t>
            </w:r>
            <w:r>
              <w:rPr>
                <w:rFonts w:ascii="Arial" w:hAnsi="Arial" w:cs="Arial"/>
                <w:sz w:val="24"/>
                <w:szCs w:val="24"/>
              </w:rPr>
              <w:t>. Este sábado se entregaron los últimos 21 títulos de propiedad de un total de 380 títulos entregados a las familias que ha</w:t>
            </w:r>
            <w:r>
              <w:rPr>
                <w:rFonts w:ascii="Arial" w:hAnsi="Arial" w:cs="Arial"/>
                <w:sz w:val="24"/>
                <w:szCs w:val="24"/>
              </w:rPr>
              <w:t>bitaban en viviendas construidas por la Comisión Nacional de Prevención de Riesgos y Atención de Emergencias (CNE) tras ser fuertemente impactadas por diferentes emergencias.</w:t>
            </w:r>
          </w:p>
          <w:p w:rsidR="00000000" w:rsidRDefault="00716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Estas familias se convierten legalmente en dueñas de sus viviendas hasta este año</w:t>
            </w:r>
            <w:r>
              <w:rPr>
                <w:rFonts w:ascii="Arial" w:hAnsi="Arial" w:cs="Arial"/>
                <w:sz w:val="24"/>
                <w:szCs w:val="24"/>
              </w:rPr>
              <w:t xml:space="preserve"> ya que anteriormente, la CNE no contaba con la autorización legal para traspasar las propiedades a los particulares. </w:t>
            </w:r>
          </w:p>
          <w:p w:rsidR="00000000" w:rsidRDefault="00716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ello se tuvo que crear la Ley 9429, que le otorgó a la CNE la autorización necesaria para la donación de las viviendas a la sociedad</w:t>
            </w:r>
            <w:r>
              <w:rPr>
                <w:rFonts w:ascii="Arial" w:hAnsi="Arial" w:cs="Arial"/>
                <w:sz w:val="24"/>
                <w:szCs w:val="24"/>
              </w:rPr>
              <w:t xml:space="preserve"> civil. </w:t>
            </w:r>
          </w:p>
          <w:p w:rsidR="00000000" w:rsidRDefault="00716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398770" cy="4039235"/>
                  <wp:effectExtent l="0" t="0" r="0" b="0"/>
                  <wp:docPr id="2" name="Imagen 3" descr="Se muestra el protocolo de una abogado siendo firmado por el presidente de la Comisión de Prevención de Riesgos y Atención de Emergencias. Se muestra las manos  del presidente cuando esta firmando  y el protocol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Se muestra el protocolo de una abogado siendo firmado por el presidente de la Comisión de Prevención de Riesgos y Atención de Emergencias. Se muestra las manos  del presidente cuando esta firmando  y el protocol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403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16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Estas 380 viviendas fueron entregadas a familias impactadas por varios eventos, entre ellos, inundaciones y deslizamientos por fuertes lluvias en el año 2005, el temporal y el paso de una onda tropical que afectó el Pacífico Central, Norte, Sur,</w:t>
            </w:r>
            <w:r>
              <w:rPr>
                <w:rFonts w:ascii="Arial" w:hAnsi="Arial" w:cs="Arial"/>
                <w:sz w:val="24"/>
                <w:szCs w:val="24"/>
              </w:rPr>
              <w:t xml:space="preserve"> el Valle Central y la Cordillera de Guanacaste en el 2007, así como el terremoto de Cinchona del 2009 de la Provincia de Alajuela.</w:t>
            </w:r>
          </w:p>
          <w:p w:rsidR="00000000" w:rsidRDefault="00716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esta forma, a partir de este momento, se les garantiza a las personas que recibieron sus casas tras las diferentes emerge</w:t>
            </w:r>
            <w:r>
              <w:rPr>
                <w:rFonts w:ascii="Arial" w:hAnsi="Arial" w:cs="Arial"/>
                <w:sz w:val="24"/>
                <w:szCs w:val="24"/>
              </w:rPr>
              <w:t xml:space="preserve">ncias, contar con un título de propiedad que los respalda como dueños de sus viviendas, puesto que, con la condición actual, estas familias habitaban las mismas en calidad de “préstamo”. </w:t>
            </w:r>
          </w:p>
          <w:p w:rsidR="00000000" w:rsidRDefault="00716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Alexander Solís Delgado, presidente de la CNE la entrega de los</w:t>
            </w:r>
            <w:r>
              <w:rPr>
                <w:rFonts w:ascii="Arial" w:hAnsi="Arial" w:cs="Arial"/>
                <w:sz w:val="24"/>
                <w:szCs w:val="24"/>
              </w:rPr>
              <w:t xml:space="preserve"> títulos de propiedad a sus propietarios representa el fin de un compromiso de hace muchos años atrás y que hoy se hace efectivo, garantizando su seguridad jurídica respecto de sus residencias.  Muy importante, además, que la CNE logra cerrar un procedimie</w:t>
            </w:r>
            <w:r>
              <w:rPr>
                <w:rFonts w:ascii="Arial" w:hAnsi="Arial" w:cs="Arial"/>
                <w:sz w:val="24"/>
                <w:szCs w:val="24"/>
              </w:rPr>
              <w:t xml:space="preserve">nto de ordenamiento interno de sus activos.    </w:t>
            </w:r>
          </w:p>
          <w:p w:rsidR="00000000" w:rsidRDefault="00716E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716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398770" cy="4039235"/>
                  <wp:effectExtent l="0" t="0" r="0" b="0"/>
                  <wp:docPr id="3" name="Imagen 4" descr="Un grupo de personas sentadas en 3 hileras de sillas en un salón, poniendo atención a lo que pasa al fren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Un grupo de personas sentadas en 3 hileras de sillas en un salón, poniendo atención a lo que pasa al frent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770" cy="403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16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la provincia de Cartago se entregaron 109 títulos en los distritos de Orosí y Aguacaliente, </w:t>
            </w:r>
            <w:r>
              <w:rPr>
                <w:rFonts w:ascii="Arial" w:hAnsi="Arial" w:cs="Arial"/>
                <w:sz w:val="24"/>
                <w:szCs w:val="24"/>
              </w:rPr>
              <w:t>en San José, se traspasaron 30 títulos en el cantón de Desamparados, en Bagaces de Guanacaste 21 títulos, en Matina, cantón de Limón 41 títulos y en Puntarenas se traspasaron 89 títulos entre los cantones de Parrita, Paso Canoas y Guaycará. Además, en Sara</w:t>
            </w:r>
            <w:r>
              <w:rPr>
                <w:rFonts w:ascii="Arial" w:hAnsi="Arial" w:cs="Arial"/>
                <w:sz w:val="24"/>
                <w:szCs w:val="24"/>
              </w:rPr>
              <w:t xml:space="preserve">piquí de Alajuela se realizó la segregación y traspaso de 91 títulos de propiedad. </w:t>
            </w:r>
          </w:p>
          <w:p w:rsidR="00000000" w:rsidRDefault="00716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Ultima etapa de entrega </w:t>
            </w:r>
          </w:p>
          <w:p w:rsidR="00000000" w:rsidRDefault="00716E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Este sábado se entregaron los últimos 21 títulos </w:t>
            </w:r>
            <w:r>
              <w:rPr>
                <w:rFonts w:ascii="Arial" w:hAnsi="Arial" w:cs="Arial"/>
                <w:sz w:val="24"/>
                <w:szCs w:val="24"/>
              </w:rPr>
              <w:t>que benefician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aproximadamente a 50 personas, a quienes se les había entregado las viviendas en el</w:t>
            </w:r>
            <w:r>
              <w:rPr>
                <w:rFonts w:ascii="Arial" w:hAnsi="Arial" w:cs="Arial"/>
                <w:sz w:val="24"/>
                <w:szCs w:val="24"/>
              </w:rPr>
              <w:t xml:space="preserve"> año 2010. La construcción se realizó en una zona más alta, manteniendo así la estabilidad emocional y económica de las personas que conservaron su entorno familiar en un sitio ya conocido. </w:t>
            </w:r>
          </w:p>
          <w:p w:rsidR="00000000" w:rsidRDefault="00716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parte de un proceso transparente, la CNE realizó visitas men</w:t>
            </w:r>
            <w:r>
              <w:rPr>
                <w:rFonts w:ascii="Arial" w:hAnsi="Arial" w:cs="Arial"/>
                <w:sz w:val="24"/>
                <w:szCs w:val="24"/>
              </w:rPr>
              <w:t xml:space="preserve">suales a los beneficiados con el fin de corroborar que los mismos se mantuvieran en las viviendas y cumplieran con los requisitos establecidos dentro del proyecto. </w:t>
            </w:r>
          </w:p>
          <w:p w:rsidR="00000000" w:rsidRDefault="00716E0F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40"/>
                <w:szCs w:val="40"/>
                <w:lang w:eastAsia="es-CR"/>
              </w:rPr>
            </w:pPr>
            <w:r>
              <w:rPr>
                <w:rFonts w:ascii="Calibri" w:hAnsi="Calibri" w:cs="Calibri"/>
                <w:noProof/>
                <w:color w:val="000000"/>
                <w:sz w:val="40"/>
                <w:szCs w:val="40"/>
                <w:lang w:eastAsia="es-CR"/>
              </w:rPr>
              <w:drawing>
                <wp:inline distT="0" distB="0" distL="0" distR="0">
                  <wp:extent cx="4531995" cy="4563745"/>
                  <wp:effectExtent l="0" t="0" r="1905" b="8255"/>
                  <wp:docPr id="4" name="Imagen 1" descr="Imagen que contiene captura de pantal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captura de pantall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995" cy="456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E0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E0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E0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E0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E0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E0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6E0F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716E0F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16AF2"/>
    <w:multiLevelType w:val="hybridMultilevel"/>
    <w:tmpl w:val="3004910C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912504009">
    <w:abstractNumId w:val="0"/>
  </w:num>
  <w:num w:numId="2" w16cid:durableId="90190877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0F"/>
    <w:rsid w:val="0071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2022-05-13T19:30:00Z</dcterms:created>
  <dcterms:modified xsi:type="dcterms:W3CDTF">2022-05-13T19:30:00Z</dcterms:modified>
</cp:coreProperties>
</file>