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0"/>
        <w:gridCol w:w="1182"/>
        <w:gridCol w:w="3397"/>
        <w:gridCol w:w="3358"/>
        <w:gridCol w:w="531"/>
        <w:gridCol w:w="221"/>
      </w:tblGrid>
      <w:tr w:rsidR="00000000">
        <w:tc>
          <w:tcPr>
            <w:tcW w:w="270" w:type="dxa"/>
            <w:tcBorders>
              <w:top w:val="single" w:sz="4" w:space="0" w:color="auto"/>
              <w:left w:val="single" w:sz="4" w:space="0" w:color="auto"/>
              <w:bottom w:val="single" w:sz="4" w:space="0" w:color="auto"/>
              <w:right w:val="single" w:sz="4" w:space="0" w:color="auto"/>
            </w:tcBorders>
          </w:tcPr>
          <w:p w:rsidR="00000000" w:rsidRDefault="003C3760">
            <w:pPr>
              <w:spacing w:after="0" w:line="240" w:lineRule="auto"/>
              <w:jc w:val="center"/>
              <w:rPr>
                <w:bCs/>
                <w:color w:val="000000"/>
                <w:sz w:val="40"/>
                <w:szCs w:val="40"/>
                <w:lang w:eastAsia="es-CR"/>
              </w:rPr>
            </w:pPr>
          </w:p>
        </w:tc>
        <w:tc>
          <w:tcPr>
            <w:tcW w:w="7569" w:type="dxa"/>
            <w:gridSpan w:val="4"/>
            <w:tcBorders>
              <w:top w:val="single" w:sz="4" w:space="0" w:color="auto"/>
              <w:left w:val="single" w:sz="4" w:space="0" w:color="auto"/>
              <w:bottom w:val="single" w:sz="4" w:space="0" w:color="auto"/>
              <w:right w:val="single" w:sz="4" w:space="0" w:color="auto"/>
            </w:tcBorders>
          </w:tcPr>
          <w:p w:rsidR="00000000" w:rsidRDefault="003C3760">
            <w:pPr>
              <w:pStyle w:val="Ttulo1"/>
              <w:jc w:val="center"/>
              <w:rPr>
                <w:lang w:val="es-ES"/>
              </w:rPr>
            </w:pPr>
            <w:r>
              <w:rPr>
                <w:lang w:val="es-ES"/>
              </w:rPr>
              <w:t>Emergencia por COVID-19</w:t>
            </w:r>
          </w:p>
          <w:p w:rsidR="00000000" w:rsidRDefault="003C3760">
            <w:pPr>
              <w:pStyle w:val="Ttulo1"/>
              <w:jc w:val="center"/>
              <w:outlineLvl w:val="0"/>
              <w:rPr>
                <w:lang w:val="es-ES"/>
              </w:rPr>
            </w:pPr>
          </w:p>
          <w:p w:rsidR="00000000" w:rsidRDefault="003C3760">
            <w:pPr>
              <w:pStyle w:val="Ttulo1"/>
              <w:jc w:val="center"/>
              <w:outlineLvl w:val="0"/>
              <w:rPr>
                <w:rFonts w:ascii="Times New Roman" w:eastAsia="Times New Roman" w:hAnsi="Times New Roman" w:cs="Times New Roman"/>
              </w:rPr>
            </w:pPr>
            <w:r>
              <w:rPr>
                <w:lang w:val="es-ES"/>
              </w:rPr>
              <w:t>71 cantones son parte del modelo de gestión compartida “Costa Rica trabaja y se cuida”</w:t>
            </w:r>
          </w:p>
          <w:p w:rsidR="00000000" w:rsidRDefault="003C3760">
            <w:pPr>
              <w:rPr>
                <w:lang w:val="es-ES"/>
              </w:rPr>
            </w:pPr>
          </w:p>
          <w:p w:rsidR="00000000" w:rsidRDefault="003C3760">
            <w:pPr>
              <w:jc w:val="center"/>
              <w:rPr>
                <w:lang w:val="es-ES"/>
              </w:rPr>
            </w:pPr>
          </w:p>
          <w:p w:rsidR="00000000" w:rsidRDefault="003C3760">
            <w:pPr>
              <w:spacing w:after="0" w:line="240" w:lineRule="auto"/>
              <w:ind w:left="142"/>
              <w:jc w:val="center"/>
              <w:rPr>
                <w:rFonts w:ascii="Arial" w:hAnsi="Arial" w:cs="Arial"/>
                <w:b/>
                <w:sz w:val="32"/>
                <w:szCs w:val="32"/>
                <w:lang w:val="es-ES"/>
              </w:rPr>
            </w:pPr>
          </w:p>
          <w:p w:rsidR="00000000" w:rsidRDefault="003C3760">
            <w:pPr>
              <w:pStyle w:val="Prrafodelista"/>
              <w:numPr>
                <w:ilvl w:val="0"/>
                <w:numId w:val="5"/>
              </w:numPr>
              <w:spacing w:after="0" w:line="240" w:lineRule="auto"/>
              <w:jc w:val="both"/>
              <w:rPr>
                <w:rFonts w:ascii="Arial" w:hAnsi="Arial" w:cs="Arial"/>
                <w:bCs/>
                <w:i/>
                <w:iCs/>
                <w:sz w:val="20"/>
                <w:szCs w:val="20"/>
                <w:lang w:val="es-ES"/>
              </w:rPr>
            </w:pPr>
            <w:r>
              <w:rPr>
                <w:rFonts w:ascii="Arial" w:hAnsi="Arial" w:cs="Arial"/>
                <w:bCs/>
                <w:i/>
                <w:iCs/>
                <w:sz w:val="20"/>
                <w:szCs w:val="20"/>
                <w:lang w:val="es-ES"/>
              </w:rPr>
              <w:t xml:space="preserve"> 9 cantones bajan de alerta naranja </w:t>
            </w:r>
            <w:r>
              <w:rPr>
                <w:rFonts w:ascii="Arial" w:hAnsi="Arial" w:cs="Arial"/>
                <w:bCs/>
                <w:i/>
                <w:iCs/>
                <w:sz w:val="20"/>
                <w:szCs w:val="20"/>
                <w:lang w:val="es-ES"/>
              </w:rPr>
              <w:t>a amarilla mientras Garabito en Puntarenas y Hojancha en Guanacaste suben a condición naranja</w:t>
            </w:r>
          </w:p>
          <w:p w:rsidR="00000000" w:rsidRDefault="003C3760">
            <w:pPr>
              <w:pStyle w:val="Prrafodelista"/>
              <w:numPr>
                <w:ilvl w:val="0"/>
                <w:numId w:val="5"/>
              </w:numPr>
              <w:spacing w:after="0" w:line="240" w:lineRule="auto"/>
              <w:jc w:val="both"/>
              <w:rPr>
                <w:rFonts w:ascii="Arial" w:hAnsi="Arial" w:cs="Arial"/>
                <w:bCs/>
                <w:i/>
                <w:iCs/>
                <w:sz w:val="20"/>
                <w:szCs w:val="20"/>
                <w:lang w:val="es-ES"/>
              </w:rPr>
            </w:pPr>
            <w:r>
              <w:rPr>
                <w:rFonts w:ascii="Arial" w:hAnsi="Arial" w:cs="Arial"/>
                <w:bCs/>
                <w:i/>
                <w:iCs/>
                <w:sz w:val="20"/>
                <w:szCs w:val="20"/>
                <w:lang w:val="es-ES"/>
              </w:rPr>
              <w:t xml:space="preserve">De estos, 8 cuentan con el Plan Local de Prevención por COVID-19, solo el cantón de Acosta no posee plan. </w:t>
            </w:r>
          </w:p>
          <w:p w:rsidR="00000000" w:rsidRDefault="003C3760">
            <w:pPr>
              <w:pStyle w:val="Prrafodelista"/>
              <w:spacing w:after="0" w:line="240" w:lineRule="auto"/>
              <w:rPr>
                <w:rFonts w:ascii="Arial" w:hAnsi="Arial" w:cs="Arial"/>
                <w:bCs/>
                <w:i/>
                <w:iCs/>
                <w:sz w:val="20"/>
                <w:szCs w:val="20"/>
                <w:lang w:val="es-ES"/>
              </w:rPr>
            </w:pPr>
          </w:p>
          <w:p w:rsidR="00000000" w:rsidRDefault="003C3760">
            <w:pPr>
              <w:pStyle w:val="Prrafodelista"/>
              <w:spacing w:after="0" w:line="240" w:lineRule="auto"/>
              <w:rPr>
                <w:rFonts w:ascii="Arial" w:hAnsi="Arial" w:cs="Arial"/>
                <w:bCs/>
                <w:i/>
                <w:iCs/>
                <w:sz w:val="20"/>
                <w:szCs w:val="20"/>
                <w:lang w:val="es-ES"/>
              </w:rPr>
            </w:pPr>
          </w:p>
          <w:p w:rsidR="00000000" w:rsidRDefault="003C3760">
            <w:pPr>
              <w:jc w:val="both"/>
              <w:rPr>
                <w:rFonts w:ascii="Arial" w:hAnsi="Arial" w:cs="Arial"/>
                <w:sz w:val="24"/>
                <w:lang w:val="es-ES"/>
              </w:rPr>
            </w:pPr>
            <w:r>
              <w:rPr>
                <w:rFonts w:ascii="Arial" w:hAnsi="Arial" w:cs="Arial"/>
                <w:b/>
                <w:i/>
                <w:color w:val="000000" w:themeColor="text1"/>
                <w:sz w:val="20"/>
                <w:lang w:val="es-ES"/>
              </w:rPr>
              <w:t>San José, 06 de octubre de 2020</w:t>
            </w:r>
            <w:r>
              <w:rPr>
                <w:rFonts w:ascii="Arial" w:hAnsi="Arial" w:cs="Arial"/>
                <w:color w:val="000000" w:themeColor="text1"/>
                <w:sz w:val="24"/>
                <w:lang w:val="es-ES"/>
              </w:rPr>
              <w:t xml:space="preserve">. </w:t>
            </w:r>
            <w:r>
              <w:rPr>
                <w:rFonts w:ascii="Arial" w:hAnsi="Arial" w:cs="Arial"/>
                <w:sz w:val="24"/>
                <w:lang w:val="es-ES"/>
              </w:rPr>
              <w:t>El modelo de gestión</w:t>
            </w:r>
            <w:r>
              <w:rPr>
                <w:rFonts w:ascii="Arial" w:hAnsi="Arial" w:cs="Arial"/>
                <w:sz w:val="24"/>
                <w:lang w:val="es-ES"/>
              </w:rPr>
              <w:t xml:space="preserve"> compartida “Costa Rica Trabaja y se cuida” ha permitido que 71 Comités Municipales de Emergencias cuenten con la autoevaluación de las condiciones de su gobierno local. Esto permite conocer cuáles son las áreas para fortalecer el Plan Local de Prevención </w:t>
            </w:r>
            <w:r>
              <w:rPr>
                <w:rFonts w:ascii="Arial" w:hAnsi="Arial" w:cs="Arial"/>
                <w:sz w:val="24"/>
                <w:lang w:val="es-ES"/>
              </w:rPr>
              <w:t xml:space="preserve">por COVID-19. </w:t>
            </w:r>
          </w:p>
          <w:p w:rsidR="00000000" w:rsidRDefault="003C3760">
            <w:pPr>
              <w:jc w:val="both"/>
              <w:rPr>
                <w:rFonts w:ascii="Arial" w:hAnsi="Arial" w:cs="Arial"/>
                <w:sz w:val="24"/>
                <w:lang w:val="es-ES"/>
              </w:rPr>
            </w:pPr>
            <w:r>
              <w:rPr>
                <w:rFonts w:ascii="Arial" w:hAnsi="Arial" w:cs="Arial"/>
                <w:sz w:val="24"/>
                <w:lang w:val="es-ES"/>
              </w:rPr>
              <w:t>Los gobiernos locales que mantienen la condición de Alerta Amarilla y que poseen el Plan Local, así como la autoevaluación, tienen la posibilidad de contar con apertura en actividades tales como gimnasios, teatros, playas, así como en parque</w:t>
            </w:r>
            <w:r>
              <w:rPr>
                <w:rFonts w:ascii="Arial" w:hAnsi="Arial" w:cs="Arial"/>
                <w:sz w:val="24"/>
                <w:lang w:val="es-ES"/>
              </w:rPr>
              <w:t>s públicos.</w:t>
            </w:r>
          </w:p>
          <w:p w:rsidR="00000000" w:rsidRDefault="003C3760">
            <w:pPr>
              <w:jc w:val="both"/>
              <w:rPr>
                <w:rFonts w:ascii="Arial" w:hAnsi="Arial" w:cs="Arial"/>
                <w:sz w:val="24"/>
                <w:lang w:val="es-ES"/>
              </w:rPr>
            </w:pPr>
            <w:r>
              <w:rPr>
                <w:rFonts w:ascii="Arial" w:hAnsi="Arial" w:cs="Arial"/>
                <w:sz w:val="24"/>
                <w:lang w:val="es-ES"/>
              </w:rPr>
              <w:t xml:space="preserve">Para esto último, se está elaborando un protocolo de apertura controlado en algunos sitios de los parques. Cada una de estas actividades, </w:t>
            </w:r>
            <w:r>
              <w:rPr>
                <w:rFonts w:ascii="Arial" w:hAnsi="Arial" w:cs="Arial"/>
                <w:sz w:val="24"/>
                <w:lang w:val="es-ES"/>
              </w:rPr>
              <w:t>cuenta con lineamientos establecidos por las instituciones de salud, para que las mismas se realicen bajo estrictos mecanismos de seguridad.</w:t>
            </w:r>
          </w:p>
          <w:p w:rsidR="00000000" w:rsidRDefault="003C3760">
            <w:pPr>
              <w:jc w:val="both"/>
              <w:rPr>
                <w:rFonts w:ascii="Arial" w:hAnsi="Arial" w:cs="Arial"/>
                <w:sz w:val="24"/>
                <w:lang w:val="es-ES"/>
              </w:rPr>
            </w:pPr>
            <w:bookmarkStart w:id="0" w:name="_Hlk52875671"/>
            <w:r>
              <w:rPr>
                <w:rFonts w:ascii="Arial" w:hAnsi="Arial" w:cs="Arial"/>
                <w:sz w:val="24"/>
                <w:lang w:val="es-ES"/>
              </w:rPr>
              <w:t>Para esta semana, la valoración epidemiológica realizada por las instituciones de salud y la Sala de Análisis de Si</w:t>
            </w:r>
            <w:r>
              <w:rPr>
                <w:rFonts w:ascii="Arial" w:hAnsi="Arial" w:cs="Arial"/>
                <w:sz w:val="24"/>
                <w:lang w:val="es-ES"/>
              </w:rPr>
              <w:t xml:space="preserve">tuación Nacional, determinó una disminución en el Índice de Riesgo Cantonal (IRC) para los cantones de Aserrí, Zarcero, La Unión, Flores, Siquirres, Vázquez de Coronado, Acosta, San Isidro y Belén los cuales estarían bajando su condición de Alerta Naranja </w:t>
            </w:r>
            <w:r>
              <w:rPr>
                <w:rFonts w:ascii="Arial" w:hAnsi="Arial" w:cs="Arial"/>
                <w:sz w:val="24"/>
                <w:lang w:val="es-ES"/>
              </w:rPr>
              <w:t>a Alerta Amarilla.</w:t>
            </w:r>
          </w:p>
          <w:p w:rsidR="00000000" w:rsidRDefault="003C3760">
            <w:pPr>
              <w:jc w:val="both"/>
              <w:rPr>
                <w:rFonts w:ascii="Arial" w:hAnsi="Arial" w:cs="Arial"/>
                <w:sz w:val="24"/>
                <w:lang w:val="es-ES"/>
              </w:rPr>
            </w:pPr>
            <w:r>
              <w:rPr>
                <w:rFonts w:ascii="Arial" w:hAnsi="Arial" w:cs="Arial"/>
                <w:sz w:val="24"/>
                <w:lang w:val="es-ES"/>
              </w:rPr>
              <w:t>Asimismo, la valoración evidenció un aumento en el IRC de Hojancha, en Guanacaste y Garabito, en Puntarenas, lo cual motivó que la Comisión Nacional de Prevención de Riesgos y Atención de Emergencias (CNE) declarara el estado de Alerta N</w:t>
            </w:r>
            <w:r>
              <w:rPr>
                <w:rFonts w:ascii="Arial" w:hAnsi="Arial" w:cs="Arial"/>
                <w:sz w:val="24"/>
                <w:lang w:val="es-ES"/>
              </w:rPr>
              <w:t>aranja para estos dos cantones.</w:t>
            </w:r>
          </w:p>
          <w:p w:rsidR="00000000" w:rsidRDefault="003C3760">
            <w:pPr>
              <w:jc w:val="both"/>
              <w:rPr>
                <w:rFonts w:ascii="Arial" w:eastAsia="Calibri" w:hAnsi="Arial" w:cs="Arial"/>
                <w:color w:val="000000"/>
                <w:sz w:val="24"/>
                <w:szCs w:val="24"/>
                <w:lang w:eastAsia="es-CR"/>
              </w:rPr>
            </w:pPr>
            <w:r>
              <w:rPr>
                <w:rFonts w:ascii="Arial" w:eastAsia="Calibri" w:hAnsi="Arial" w:cs="Arial"/>
                <w:color w:val="000000"/>
                <w:sz w:val="24"/>
                <w:szCs w:val="24"/>
                <w:lang w:eastAsia="es-CR"/>
              </w:rPr>
              <w:t>De los nueve cantones que bajaron su estado de alerta, ocho Comités Municipales de Emergencia presentaron su autoevaluación con un porcentaje mayor al 90%, solo el cantón de Acosta no ha presentado el plan.</w:t>
            </w:r>
            <w:bookmarkEnd w:id="0"/>
            <w:r>
              <w:rPr>
                <w:rFonts w:ascii="Arial" w:eastAsia="Calibri" w:hAnsi="Arial" w:cs="Arial"/>
                <w:color w:val="000000"/>
                <w:sz w:val="24"/>
                <w:szCs w:val="24"/>
                <w:lang w:eastAsia="es-CR"/>
              </w:rPr>
              <w:t xml:space="preserve"> Mientras que los </w:t>
            </w:r>
            <w:r>
              <w:rPr>
                <w:rFonts w:ascii="Arial" w:eastAsia="Calibri" w:hAnsi="Arial" w:cs="Arial"/>
                <w:color w:val="000000"/>
                <w:sz w:val="24"/>
                <w:szCs w:val="24"/>
                <w:lang w:eastAsia="es-CR"/>
              </w:rPr>
              <w:t>cantones en Alerta Naranja Garabito y Hojancha poseen un 88% y un 91% de la autoevaluación.</w:t>
            </w:r>
          </w:p>
          <w:p w:rsidR="00000000" w:rsidRDefault="003C3760">
            <w:pPr>
              <w:jc w:val="both"/>
              <w:rPr>
                <w:rFonts w:ascii="Arial" w:eastAsia="Calibri" w:hAnsi="Arial" w:cs="Arial"/>
                <w:color w:val="000000"/>
                <w:sz w:val="24"/>
                <w:szCs w:val="24"/>
                <w:lang w:eastAsia="es-CR"/>
              </w:rPr>
            </w:pPr>
            <w:r>
              <w:rPr>
                <w:rFonts w:ascii="Arial" w:eastAsia="Calibri" w:hAnsi="Arial" w:cs="Arial"/>
                <w:color w:val="000000"/>
                <w:sz w:val="24"/>
                <w:szCs w:val="24"/>
                <w:lang w:eastAsia="es-CR"/>
              </w:rPr>
              <w:lastRenderedPageBreak/>
              <w:t>Con estas modificaciones quedan con Alerta Naranja los siguientes cantones en el territorio nacional:</w:t>
            </w:r>
          </w:p>
          <w:tbl>
            <w:tblPr>
              <w:tblW w:w="0" w:type="auto"/>
              <w:jc w:val="center"/>
              <w:tblBorders>
                <w:top w:val="dashed" w:sz="4" w:space="0" w:color="FF0000"/>
                <w:left w:val="dashed" w:sz="4" w:space="0" w:color="FF0000"/>
                <w:bottom w:val="dashed" w:sz="4" w:space="0" w:color="FF0000"/>
                <w:right w:val="dashed" w:sz="4" w:space="0" w:color="FF0000"/>
              </w:tblBorders>
              <w:tblLook w:val="04A0" w:firstRow="1" w:lastRow="0" w:firstColumn="1" w:lastColumn="0" w:noHBand="0" w:noVBand="1"/>
              <w:tblCaption w:val="HERMESIGNORETABLETOGRID"/>
            </w:tblPr>
            <w:tblGrid>
              <w:gridCol w:w="8242"/>
            </w:tblGrid>
            <w:tr w:rsidR="00000000">
              <w:trPr>
                <w:jc w:val="center"/>
              </w:trPr>
              <w:tc>
                <w:tcPr>
                  <w:tcW w:w="8251" w:type="dxa"/>
                  <w:tcBorders>
                    <w:top w:val="dashed" w:sz="4" w:space="0" w:color="FF0000"/>
                    <w:left w:val="dashed" w:sz="4" w:space="0" w:color="FF0000"/>
                    <w:bottom w:val="nil"/>
                    <w:right w:val="dashed" w:sz="4" w:space="0" w:color="FF0000"/>
                  </w:tcBorders>
                  <w:shd w:val="clear" w:color="auto" w:fill="CCCCCC"/>
                  <w:tcMar>
                    <w:top w:w="75" w:type="dxa"/>
                    <w:left w:w="108" w:type="dxa"/>
                    <w:bottom w:w="75" w:type="dxa"/>
                    <w:right w:w="108" w:type="dxa"/>
                  </w:tcMar>
                  <w:hideMark/>
                </w:tcPr>
                <w:p w:rsidR="00000000" w:rsidRDefault="003C3760">
                  <w:pPr>
                    <w:jc w:val="center"/>
                    <w:rPr>
                      <w:rFonts w:ascii="Arial" w:eastAsia="Calibri" w:hAnsi="Arial" w:cs="Arial"/>
                      <w:color w:val="000000"/>
                      <w:sz w:val="24"/>
                      <w:szCs w:val="24"/>
                      <w:lang w:eastAsia="es-CR"/>
                    </w:rPr>
                  </w:pPr>
                  <w:r>
                    <w:rPr>
                      <w:rFonts w:ascii="Arial" w:eastAsia="Calibri" w:hAnsi="Arial" w:cs="Arial"/>
                      <w:color w:val="000000"/>
                      <w:sz w:val="24"/>
                      <w:szCs w:val="24"/>
                      <w:lang w:eastAsia="es-CR"/>
                    </w:rPr>
                    <w:t>Cuadro de datos</w:t>
                  </w:r>
                </w:p>
              </w:tc>
            </w:tr>
            <w:tr w:rsidR="00000000">
              <w:trPr>
                <w:jc w:val="center"/>
              </w:trPr>
              <w:tc>
                <w:tcPr>
                  <w:tcW w:w="8251" w:type="dxa"/>
                  <w:tcBorders>
                    <w:top w:val="nil"/>
                    <w:left w:val="dashed" w:sz="4" w:space="0" w:color="FF0000"/>
                    <w:bottom w:val="dashed" w:sz="4" w:space="0" w:color="FF0000"/>
                    <w:right w:val="dashed" w:sz="4" w:space="0" w:color="FF0000"/>
                  </w:tcBorders>
                  <w:tcMar>
                    <w:top w:w="75" w:type="dxa"/>
                    <w:left w:w="108" w:type="dxa"/>
                    <w:bottom w:w="75" w:type="dxa"/>
                    <w:right w:w="108" w:type="dxa"/>
                  </w:tcMar>
                  <w:hideMark/>
                </w:tcPr>
                <w:tbl>
                  <w:tblPr>
                    <w:tblpPr w:leftFromText="141" w:rightFromText="141" w:vertAnchor="text" w:horzAnchor="margin" w:tblpY="18"/>
                    <w:tblOverlap w:val="neve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7377"/>
                  </w:tblGrid>
                  <w:tr w:rsidR="00000000">
                    <w:trPr>
                      <w:trHeight w:val="511"/>
                    </w:trPr>
                    <w:tc>
                      <w:tcPr>
                        <w:tcW w:w="2297" w:type="dxa"/>
                        <w:tcBorders>
                          <w:top w:val="single" w:sz="4" w:space="0" w:color="auto"/>
                          <w:left w:val="single" w:sz="4" w:space="0" w:color="auto"/>
                          <w:bottom w:val="single" w:sz="4" w:space="0" w:color="auto"/>
                          <w:right w:val="single" w:sz="4" w:space="0" w:color="auto"/>
                        </w:tcBorders>
                        <w:shd w:val="clear" w:color="auto" w:fill="ED7D31"/>
                        <w:hideMark/>
                      </w:tcPr>
                      <w:p w:rsidR="00000000" w:rsidRDefault="003C3760">
                        <w:pPr>
                          <w:spacing w:before="120" w:after="120"/>
                          <w:jc w:val="center"/>
                          <w:rPr>
                            <w:rFonts w:ascii="Arial" w:eastAsia="Calibri" w:hAnsi="Arial" w:cs="Arial"/>
                            <w:b/>
                            <w:bCs/>
                            <w:color w:val="000000"/>
                            <w:lang w:eastAsia="es-CR"/>
                          </w:rPr>
                        </w:pPr>
                        <w:bookmarkStart w:id="1" w:name="_Hlk48028632"/>
                        <w:r>
                          <w:rPr>
                            <w:rFonts w:ascii="Arial" w:eastAsia="Calibri" w:hAnsi="Arial" w:cs="Arial"/>
                            <w:b/>
                            <w:bCs/>
                            <w:color w:val="000000"/>
                            <w:lang w:eastAsia="es-CR"/>
                          </w:rPr>
                          <w:t>PROVINCIA</w:t>
                        </w:r>
                      </w:p>
                    </w:tc>
                    <w:tc>
                      <w:tcPr>
                        <w:tcW w:w="7377" w:type="dxa"/>
                        <w:tcBorders>
                          <w:top w:val="single" w:sz="4" w:space="0" w:color="auto"/>
                          <w:left w:val="single" w:sz="4" w:space="0" w:color="auto"/>
                          <w:bottom w:val="single" w:sz="4" w:space="0" w:color="auto"/>
                          <w:right w:val="single" w:sz="4" w:space="0" w:color="auto"/>
                        </w:tcBorders>
                        <w:shd w:val="clear" w:color="auto" w:fill="ED7D31"/>
                        <w:hideMark/>
                      </w:tcPr>
                      <w:p w:rsidR="00000000" w:rsidRDefault="003C3760">
                        <w:pPr>
                          <w:tabs>
                            <w:tab w:val="left" w:pos="570"/>
                            <w:tab w:val="center" w:pos="3727"/>
                          </w:tabs>
                          <w:spacing w:before="120" w:after="120"/>
                          <w:rPr>
                            <w:rFonts w:ascii="Arial" w:eastAsia="Calibri" w:hAnsi="Arial" w:cs="Arial"/>
                            <w:b/>
                            <w:bCs/>
                            <w:color w:val="000000"/>
                            <w:lang w:eastAsia="es-CR"/>
                          </w:rPr>
                        </w:pPr>
                        <w:r>
                          <w:rPr>
                            <w:rFonts w:ascii="Arial" w:eastAsia="Calibri" w:hAnsi="Arial" w:cs="Arial"/>
                            <w:b/>
                            <w:bCs/>
                            <w:color w:val="000000"/>
                            <w:lang w:eastAsia="es-CR"/>
                          </w:rPr>
                          <w:tab/>
                        </w:r>
                        <w:r>
                          <w:rPr>
                            <w:rFonts w:ascii="Arial" w:eastAsia="Calibri" w:hAnsi="Arial" w:cs="Arial"/>
                            <w:b/>
                            <w:bCs/>
                            <w:color w:val="000000"/>
                            <w:lang w:eastAsia="es-CR"/>
                          </w:rPr>
                          <w:tab/>
                          <w:t>CANTONES</w:t>
                        </w:r>
                      </w:p>
                    </w:tc>
                  </w:tr>
                  <w:tr w:rsidR="00000000">
                    <w:trPr>
                      <w:trHeight w:val="1052"/>
                    </w:trPr>
                    <w:tc>
                      <w:tcPr>
                        <w:tcW w:w="2297" w:type="dxa"/>
                        <w:tcBorders>
                          <w:top w:val="single" w:sz="4" w:space="0" w:color="auto"/>
                          <w:left w:val="single" w:sz="4" w:space="0" w:color="auto"/>
                          <w:bottom w:val="single" w:sz="4" w:space="0" w:color="auto"/>
                          <w:right w:val="single" w:sz="4" w:space="0" w:color="auto"/>
                        </w:tcBorders>
                        <w:shd w:val="clear" w:color="auto" w:fill="ED7D31"/>
                        <w:hideMark/>
                      </w:tcPr>
                      <w:p w:rsidR="00000000" w:rsidRDefault="003C3760">
                        <w:pPr>
                          <w:spacing w:before="120" w:after="120"/>
                          <w:jc w:val="both"/>
                          <w:rPr>
                            <w:rFonts w:ascii="Arial" w:eastAsia="Calibri" w:hAnsi="Arial" w:cs="Arial"/>
                            <w:b/>
                            <w:bCs/>
                            <w:color w:val="000000"/>
                            <w:sz w:val="24"/>
                            <w:szCs w:val="24"/>
                            <w:lang w:eastAsia="es-CR"/>
                          </w:rPr>
                        </w:pPr>
                        <w:r>
                          <w:rPr>
                            <w:rFonts w:ascii="Arial" w:eastAsia="Calibri" w:hAnsi="Arial" w:cs="Arial"/>
                            <w:b/>
                            <w:bCs/>
                            <w:color w:val="000000"/>
                            <w:sz w:val="24"/>
                            <w:szCs w:val="24"/>
                            <w:lang w:eastAsia="es-CR"/>
                          </w:rPr>
                          <w:t xml:space="preserve">San José </w:t>
                        </w:r>
                      </w:p>
                    </w:tc>
                    <w:tc>
                      <w:tcPr>
                        <w:tcW w:w="7377" w:type="dxa"/>
                        <w:tcBorders>
                          <w:top w:val="single" w:sz="4" w:space="0" w:color="auto"/>
                          <w:left w:val="single" w:sz="4" w:space="0" w:color="auto"/>
                          <w:bottom w:val="single" w:sz="4" w:space="0" w:color="auto"/>
                          <w:right w:val="single" w:sz="4" w:space="0" w:color="auto"/>
                        </w:tcBorders>
                        <w:hideMark/>
                      </w:tcPr>
                      <w:p w:rsidR="00000000" w:rsidRDefault="003C3760">
                        <w:pPr>
                          <w:spacing w:before="120" w:after="120"/>
                          <w:jc w:val="both"/>
                          <w:rPr>
                            <w:rFonts w:ascii="Arial" w:eastAsia="Calibri" w:hAnsi="Arial" w:cs="Arial"/>
                            <w:b/>
                            <w:bCs/>
                            <w:color w:val="000000"/>
                            <w:lang w:eastAsia="es-CR"/>
                          </w:rPr>
                        </w:pPr>
                        <w:r>
                          <w:rPr>
                            <w:rFonts w:ascii="Arial" w:eastAsia="+mn-ea" w:hAnsi="Arial" w:cs="Arial"/>
                            <w:color w:val="000000"/>
                            <w:kern w:val="24"/>
                            <w:lang w:eastAsia="es-CR"/>
                          </w:rPr>
                          <w:t>San José, Des</w:t>
                        </w:r>
                        <w:r>
                          <w:rPr>
                            <w:rFonts w:ascii="Arial" w:eastAsia="+mn-ea" w:hAnsi="Arial" w:cs="Arial"/>
                            <w:color w:val="000000"/>
                            <w:kern w:val="24"/>
                            <w:lang w:eastAsia="es-CR"/>
                          </w:rPr>
                          <w:t>amparados (salvo distritos de San Cristóbal y Frailes), Santa Ana, Alajuelita, Tibás, Curridabat, Goicoechea</w:t>
                        </w:r>
                        <w:r>
                          <w:rPr>
                            <w:rFonts w:ascii="Arial" w:eastAsia="Calibri" w:hAnsi="Arial" w:cs="Arial"/>
                            <w:color w:val="000000"/>
                            <w:sz w:val="24"/>
                            <w:szCs w:val="24"/>
                            <w:lang w:eastAsia="es-CR"/>
                          </w:rPr>
                          <w:t>.</w:t>
                        </w:r>
                      </w:p>
                    </w:tc>
                  </w:tr>
                  <w:tr w:rsidR="00000000">
                    <w:trPr>
                      <w:trHeight w:val="1052"/>
                    </w:trPr>
                    <w:tc>
                      <w:tcPr>
                        <w:tcW w:w="2297" w:type="dxa"/>
                        <w:tcBorders>
                          <w:top w:val="single" w:sz="4" w:space="0" w:color="auto"/>
                          <w:left w:val="single" w:sz="4" w:space="0" w:color="auto"/>
                          <w:bottom w:val="single" w:sz="4" w:space="0" w:color="auto"/>
                          <w:right w:val="single" w:sz="4" w:space="0" w:color="auto"/>
                        </w:tcBorders>
                        <w:shd w:val="clear" w:color="auto" w:fill="ED7D31"/>
                        <w:hideMark/>
                      </w:tcPr>
                      <w:p w:rsidR="00000000" w:rsidRDefault="003C3760">
                        <w:pPr>
                          <w:spacing w:before="120" w:after="120"/>
                          <w:jc w:val="both"/>
                          <w:rPr>
                            <w:rFonts w:ascii="Arial" w:eastAsia="Calibri" w:hAnsi="Arial" w:cs="Arial"/>
                            <w:b/>
                            <w:bCs/>
                            <w:color w:val="000000"/>
                            <w:sz w:val="24"/>
                            <w:szCs w:val="24"/>
                            <w:lang w:eastAsia="es-CR"/>
                          </w:rPr>
                        </w:pPr>
                        <w:r>
                          <w:rPr>
                            <w:rFonts w:ascii="Arial" w:eastAsia="Calibri" w:hAnsi="Arial" w:cs="Arial"/>
                            <w:b/>
                            <w:bCs/>
                            <w:color w:val="000000"/>
                            <w:sz w:val="24"/>
                            <w:szCs w:val="24"/>
                            <w:lang w:eastAsia="es-CR"/>
                          </w:rPr>
                          <w:t>Alajuela</w:t>
                        </w:r>
                      </w:p>
                    </w:tc>
                    <w:tc>
                      <w:tcPr>
                        <w:tcW w:w="7377" w:type="dxa"/>
                        <w:tcBorders>
                          <w:top w:val="single" w:sz="4" w:space="0" w:color="auto"/>
                          <w:left w:val="single" w:sz="4" w:space="0" w:color="auto"/>
                          <w:bottom w:val="single" w:sz="4" w:space="0" w:color="auto"/>
                          <w:right w:val="single" w:sz="4" w:space="0" w:color="auto"/>
                        </w:tcBorders>
                        <w:hideMark/>
                      </w:tcPr>
                      <w:p w:rsidR="00000000" w:rsidRDefault="003C3760">
                        <w:pPr>
                          <w:spacing w:before="120" w:after="120"/>
                          <w:jc w:val="both"/>
                          <w:rPr>
                            <w:rFonts w:ascii="Arial" w:eastAsia="+mn-ea" w:hAnsi="Arial" w:cs="Arial"/>
                            <w:color w:val="000000"/>
                            <w:kern w:val="24"/>
                            <w:lang w:eastAsia="es-CR"/>
                          </w:rPr>
                        </w:pPr>
                        <w:r>
                          <w:rPr>
                            <w:rFonts w:ascii="Arial" w:eastAsia="+mn-ea" w:hAnsi="Arial" w:cs="Arial"/>
                            <w:color w:val="000000"/>
                            <w:kern w:val="24"/>
                            <w:lang w:eastAsia="es-CR"/>
                          </w:rPr>
                          <w:t xml:space="preserve">Alajuela (salvo </w:t>
                        </w:r>
                        <w:r>
                          <w:rPr>
                            <w:rFonts w:ascii="Arial" w:eastAsia="+mn-ea" w:hAnsi="Arial" w:cs="Arial"/>
                            <w:color w:val="000000"/>
                            <w:kern w:val="24"/>
                            <w:lang w:eastAsia="es-CR"/>
                          </w:rPr>
                          <w:t>distrito de Sarapiquí), Cantón de Río Cuarto, Distrito Pital y Distrito Quesada del cantón de San Carlos.</w:t>
                        </w:r>
                      </w:p>
                    </w:tc>
                  </w:tr>
                  <w:tr w:rsidR="00000000">
                    <w:trPr>
                      <w:trHeight w:val="767"/>
                    </w:trPr>
                    <w:tc>
                      <w:tcPr>
                        <w:tcW w:w="2297" w:type="dxa"/>
                        <w:tcBorders>
                          <w:top w:val="single" w:sz="4" w:space="0" w:color="auto"/>
                          <w:left w:val="single" w:sz="4" w:space="0" w:color="auto"/>
                          <w:bottom w:val="single" w:sz="4" w:space="0" w:color="auto"/>
                          <w:right w:val="single" w:sz="4" w:space="0" w:color="auto"/>
                        </w:tcBorders>
                        <w:shd w:val="clear" w:color="auto" w:fill="ED7D31"/>
                        <w:hideMark/>
                      </w:tcPr>
                      <w:p w:rsidR="00000000" w:rsidRDefault="003C3760">
                        <w:pPr>
                          <w:spacing w:before="120" w:after="120"/>
                          <w:jc w:val="both"/>
                          <w:rPr>
                            <w:rFonts w:ascii="Arial" w:eastAsia="Calibri" w:hAnsi="Arial" w:cs="Arial"/>
                            <w:b/>
                            <w:bCs/>
                            <w:color w:val="000000"/>
                            <w:sz w:val="24"/>
                            <w:szCs w:val="24"/>
                            <w:lang w:eastAsia="es-CR"/>
                          </w:rPr>
                        </w:pPr>
                        <w:r>
                          <w:rPr>
                            <w:rFonts w:ascii="Arial" w:eastAsia="Calibri" w:hAnsi="Arial" w:cs="Arial"/>
                            <w:b/>
                            <w:bCs/>
                            <w:color w:val="000000"/>
                            <w:sz w:val="24"/>
                            <w:szCs w:val="24"/>
                            <w:lang w:eastAsia="es-CR"/>
                          </w:rPr>
                          <w:t>Heredia</w:t>
                        </w:r>
                      </w:p>
                    </w:tc>
                    <w:tc>
                      <w:tcPr>
                        <w:tcW w:w="7377" w:type="dxa"/>
                        <w:tcBorders>
                          <w:top w:val="single" w:sz="4" w:space="0" w:color="auto"/>
                          <w:left w:val="single" w:sz="4" w:space="0" w:color="auto"/>
                          <w:bottom w:val="single" w:sz="4" w:space="0" w:color="auto"/>
                          <w:right w:val="single" w:sz="4" w:space="0" w:color="auto"/>
                        </w:tcBorders>
                        <w:hideMark/>
                      </w:tcPr>
                      <w:p w:rsidR="00000000" w:rsidRDefault="003C3760">
                        <w:pPr>
                          <w:spacing w:before="120" w:after="120"/>
                          <w:jc w:val="both"/>
                          <w:rPr>
                            <w:rFonts w:ascii="Arial" w:eastAsia="+mn-ea" w:hAnsi="Arial" w:cs="Arial"/>
                            <w:b/>
                            <w:bCs/>
                            <w:color w:val="000000"/>
                            <w:kern w:val="24"/>
                            <w:u w:val="single"/>
                            <w:lang w:eastAsia="es-CR"/>
                          </w:rPr>
                        </w:pPr>
                        <w:r>
                          <w:rPr>
                            <w:rFonts w:ascii="Arial" w:eastAsia="+mn-ea" w:hAnsi="Arial" w:cs="Arial"/>
                            <w:color w:val="000000"/>
                            <w:kern w:val="24"/>
                            <w:lang w:eastAsia="es-CR"/>
                          </w:rPr>
                          <w:t>Heredia (salvo distrito Varablanca), Santo Domingo.</w:t>
                        </w:r>
                      </w:p>
                    </w:tc>
                  </w:tr>
                  <w:tr w:rsidR="00000000">
                    <w:trPr>
                      <w:trHeight w:val="1037"/>
                    </w:trPr>
                    <w:tc>
                      <w:tcPr>
                        <w:tcW w:w="2297" w:type="dxa"/>
                        <w:tcBorders>
                          <w:top w:val="single" w:sz="4" w:space="0" w:color="auto"/>
                          <w:left w:val="single" w:sz="4" w:space="0" w:color="auto"/>
                          <w:bottom w:val="single" w:sz="4" w:space="0" w:color="auto"/>
                          <w:right w:val="single" w:sz="4" w:space="0" w:color="auto"/>
                        </w:tcBorders>
                        <w:shd w:val="clear" w:color="auto" w:fill="ED7D31"/>
                        <w:hideMark/>
                      </w:tcPr>
                      <w:p w:rsidR="00000000" w:rsidRDefault="003C3760">
                        <w:pPr>
                          <w:spacing w:before="120" w:after="120"/>
                          <w:jc w:val="both"/>
                          <w:rPr>
                            <w:rFonts w:ascii="Arial" w:eastAsia="Calibri" w:hAnsi="Arial" w:cs="Arial"/>
                            <w:b/>
                            <w:bCs/>
                            <w:color w:val="000000"/>
                            <w:sz w:val="24"/>
                            <w:szCs w:val="24"/>
                            <w:lang w:eastAsia="es-CR"/>
                          </w:rPr>
                        </w:pPr>
                        <w:r>
                          <w:rPr>
                            <w:rFonts w:ascii="Arial" w:eastAsia="Calibri" w:hAnsi="Arial" w:cs="Arial"/>
                            <w:b/>
                            <w:bCs/>
                            <w:color w:val="000000"/>
                            <w:sz w:val="24"/>
                            <w:szCs w:val="24"/>
                            <w:lang w:eastAsia="es-CR"/>
                          </w:rPr>
                          <w:t>Puntarenas</w:t>
                        </w:r>
                      </w:p>
                    </w:tc>
                    <w:tc>
                      <w:tcPr>
                        <w:tcW w:w="7377" w:type="dxa"/>
                        <w:tcBorders>
                          <w:top w:val="single" w:sz="4" w:space="0" w:color="auto"/>
                          <w:left w:val="single" w:sz="4" w:space="0" w:color="auto"/>
                          <w:bottom w:val="single" w:sz="4" w:space="0" w:color="auto"/>
                          <w:right w:val="single" w:sz="4" w:space="0" w:color="auto"/>
                        </w:tcBorders>
                        <w:hideMark/>
                      </w:tcPr>
                      <w:p w:rsidR="00000000" w:rsidRDefault="003C3760">
                        <w:pPr>
                          <w:spacing w:before="120" w:after="120"/>
                          <w:jc w:val="both"/>
                          <w:rPr>
                            <w:rFonts w:ascii="Arial" w:eastAsia="+mn-ea" w:hAnsi="Arial" w:cs="Arial"/>
                            <w:color w:val="000000"/>
                            <w:kern w:val="24"/>
                            <w:lang w:eastAsia="es-CR"/>
                          </w:rPr>
                        </w:pPr>
                        <w:r>
                          <w:rPr>
                            <w:rFonts w:ascii="Arial" w:eastAsia="+mn-ea" w:hAnsi="Arial" w:cs="Arial"/>
                            <w:color w:val="000000"/>
                            <w:kern w:val="24"/>
                            <w:lang w:eastAsia="es-CR"/>
                          </w:rPr>
                          <w:t>Montes de Oro, Distritos de</w:t>
                        </w:r>
                        <w:r>
                          <w:rPr>
                            <w:rFonts w:ascii="Arial" w:eastAsia="Calibri" w:hAnsi="Arial" w:cs="Arial"/>
                            <w:color w:val="000000"/>
                            <w:sz w:val="24"/>
                            <w:szCs w:val="24"/>
                            <w:lang w:eastAsia="es-CR"/>
                          </w:rPr>
                          <w:t xml:space="preserve"> </w:t>
                        </w:r>
                        <w:r>
                          <w:rPr>
                            <w:rFonts w:ascii="Arial" w:eastAsia="+mn-ea" w:hAnsi="Arial" w:cs="Arial"/>
                            <w:color w:val="000000"/>
                            <w:kern w:val="24"/>
                            <w:lang w:eastAsia="es-CR"/>
                          </w:rPr>
                          <w:t>Puntarenas centro, Barranca, Chacarita, y El Roble del cantón de Puntarenas. Esparza, Garabito.</w:t>
                        </w:r>
                      </w:p>
                    </w:tc>
                  </w:tr>
                  <w:tr w:rsidR="00000000">
                    <w:trPr>
                      <w:trHeight w:val="526"/>
                    </w:trPr>
                    <w:tc>
                      <w:tcPr>
                        <w:tcW w:w="2297" w:type="dxa"/>
                        <w:tcBorders>
                          <w:top w:val="single" w:sz="4" w:space="0" w:color="auto"/>
                          <w:left w:val="single" w:sz="4" w:space="0" w:color="auto"/>
                          <w:bottom w:val="single" w:sz="4" w:space="0" w:color="auto"/>
                          <w:right w:val="single" w:sz="4" w:space="0" w:color="auto"/>
                        </w:tcBorders>
                        <w:shd w:val="clear" w:color="auto" w:fill="ED7D31"/>
                        <w:hideMark/>
                      </w:tcPr>
                      <w:p w:rsidR="00000000" w:rsidRDefault="003C3760">
                        <w:pPr>
                          <w:spacing w:before="120" w:after="120"/>
                          <w:jc w:val="both"/>
                          <w:rPr>
                            <w:rFonts w:ascii="Arial" w:eastAsia="Calibri" w:hAnsi="Arial" w:cs="Arial"/>
                            <w:b/>
                            <w:bCs/>
                            <w:color w:val="000000"/>
                            <w:sz w:val="24"/>
                            <w:szCs w:val="24"/>
                            <w:lang w:eastAsia="es-CR"/>
                          </w:rPr>
                        </w:pPr>
                        <w:r>
                          <w:rPr>
                            <w:rFonts w:ascii="Arial" w:eastAsia="Calibri" w:hAnsi="Arial" w:cs="Arial"/>
                            <w:b/>
                            <w:bCs/>
                            <w:color w:val="000000"/>
                            <w:sz w:val="24"/>
                            <w:szCs w:val="24"/>
                            <w:lang w:eastAsia="es-CR"/>
                          </w:rPr>
                          <w:t>Limón</w:t>
                        </w:r>
                      </w:p>
                    </w:tc>
                    <w:tc>
                      <w:tcPr>
                        <w:tcW w:w="7377" w:type="dxa"/>
                        <w:tcBorders>
                          <w:top w:val="single" w:sz="4" w:space="0" w:color="auto"/>
                          <w:left w:val="single" w:sz="4" w:space="0" w:color="auto"/>
                          <w:bottom w:val="single" w:sz="4" w:space="0" w:color="auto"/>
                          <w:right w:val="single" w:sz="4" w:space="0" w:color="auto"/>
                        </w:tcBorders>
                        <w:hideMark/>
                      </w:tcPr>
                      <w:p w:rsidR="00000000" w:rsidRDefault="003C3760">
                        <w:pPr>
                          <w:spacing w:before="120" w:after="120"/>
                          <w:jc w:val="both"/>
                          <w:rPr>
                            <w:rFonts w:ascii="Arial" w:eastAsia="Calibri" w:hAnsi="Arial" w:cs="Arial"/>
                            <w:color w:val="000000"/>
                            <w:sz w:val="24"/>
                            <w:szCs w:val="24"/>
                            <w:lang w:eastAsia="es-CR"/>
                          </w:rPr>
                        </w:pPr>
                        <w:r>
                          <w:rPr>
                            <w:rFonts w:ascii="Arial" w:eastAsia="+mn-ea" w:hAnsi="Arial" w:cs="Arial"/>
                            <w:color w:val="000000"/>
                            <w:kern w:val="24"/>
                            <w:lang w:eastAsia="es-CR"/>
                          </w:rPr>
                          <w:t>Limón, Matina, Talamanca.</w:t>
                        </w:r>
                      </w:p>
                    </w:tc>
                  </w:tr>
                  <w:tr w:rsidR="00000000">
                    <w:trPr>
                      <w:trHeight w:val="526"/>
                    </w:trPr>
                    <w:tc>
                      <w:tcPr>
                        <w:tcW w:w="2297" w:type="dxa"/>
                        <w:tcBorders>
                          <w:top w:val="single" w:sz="4" w:space="0" w:color="auto"/>
                          <w:left w:val="single" w:sz="4" w:space="0" w:color="auto"/>
                          <w:bottom w:val="single" w:sz="4" w:space="0" w:color="auto"/>
                          <w:right w:val="single" w:sz="4" w:space="0" w:color="auto"/>
                        </w:tcBorders>
                        <w:shd w:val="clear" w:color="auto" w:fill="ED7D31"/>
                        <w:hideMark/>
                      </w:tcPr>
                      <w:p w:rsidR="00000000" w:rsidRDefault="003C3760">
                        <w:pPr>
                          <w:spacing w:before="120" w:after="120"/>
                          <w:jc w:val="both"/>
                          <w:rPr>
                            <w:rFonts w:ascii="Arial" w:eastAsia="Calibri" w:hAnsi="Arial" w:cs="Arial"/>
                            <w:b/>
                            <w:bCs/>
                            <w:color w:val="000000"/>
                            <w:sz w:val="24"/>
                            <w:szCs w:val="24"/>
                            <w:lang w:eastAsia="es-CR"/>
                          </w:rPr>
                        </w:pPr>
                        <w:r>
                          <w:rPr>
                            <w:rFonts w:ascii="Arial" w:eastAsia="Calibri" w:hAnsi="Arial" w:cs="Arial"/>
                            <w:b/>
                            <w:bCs/>
                            <w:color w:val="000000"/>
                            <w:sz w:val="24"/>
                            <w:szCs w:val="24"/>
                            <w:lang w:eastAsia="es-CR"/>
                          </w:rPr>
                          <w:t>Guanacaste</w:t>
                        </w:r>
                      </w:p>
                    </w:tc>
                    <w:tc>
                      <w:tcPr>
                        <w:tcW w:w="7377" w:type="dxa"/>
                        <w:tcBorders>
                          <w:top w:val="single" w:sz="4" w:space="0" w:color="auto"/>
                          <w:left w:val="single" w:sz="4" w:space="0" w:color="auto"/>
                          <w:bottom w:val="single" w:sz="4" w:space="0" w:color="auto"/>
                          <w:right w:val="single" w:sz="4" w:space="0" w:color="auto"/>
                        </w:tcBorders>
                        <w:hideMark/>
                      </w:tcPr>
                      <w:p w:rsidR="00000000" w:rsidRDefault="003C3760">
                        <w:pPr>
                          <w:spacing w:before="120" w:after="120"/>
                          <w:jc w:val="both"/>
                          <w:rPr>
                            <w:rFonts w:ascii="Arial" w:eastAsia="+mn-ea" w:hAnsi="Arial" w:cs="Arial"/>
                            <w:color w:val="000000"/>
                            <w:kern w:val="24"/>
                            <w:lang w:eastAsia="es-CR"/>
                          </w:rPr>
                        </w:pPr>
                        <w:r>
                          <w:rPr>
                            <w:rFonts w:ascii="Arial" w:eastAsia="+mn-ea" w:hAnsi="Arial" w:cs="Arial"/>
                            <w:color w:val="000000"/>
                            <w:kern w:val="24"/>
                            <w:lang w:eastAsia="es-CR"/>
                          </w:rPr>
                          <w:t>Hojancha</w:t>
                        </w:r>
                      </w:p>
                    </w:tc>
                    <w:bookmarkEnd w:id="1"/>
                  </w:tr>
                </w:tbl>
                <w:p w:rsidR="00000000" w:rsidRDefault="003C3760">
                  <w:pPr>
                    <w:jc w:val="both"/>
                    <w:rPr>
                      <w:rFonts w:ascii="Arial" w:eastAsia="Calibri" w:hAnsi="Arial" w:cs="Arial"/>
                      <w:color w:val="000000"/>
                      <w:sz w:val="24"/>
                      <w:szCs w:val="24"/>
                      <w:lang w:eastAsia="es-CR"/>
                    </w:rPr>
                  </w:pPr>
                  <w:r>
                    <w:rPr>
                      <w:rFonts w:ascii="Arial" w:eastAsia="Calibri" w:hAnsi="Arial" w:cs="Arial"/>
                      <w:color w:val="000000"/>
                      <w:sz w:val="24"/>
                      <w:szCs w:val="24"/>
                      <w:lang w:eastAsia="es-CR"/>
                    </w:rPr>
                    <w:t xml:space="preserve"> </w:t>
                  </w:r>
                </w:p>
              </w:tc>
            </w:tr>
          </w:tbl>
          <w:p w:rsidR="00000000" w:rsidRDefault="003C3760">
            <w:pPr>
              <w:jc w:val="both"/>
              <w:rPr>
                <w:rFonts w:ascii="Arial" w:eastAsia="Calibri" w:hAnsi="Arial" w:cs="Arial"/>
                <w:color w:val="000000"/>
                <w:sz w:val="24"/>
                <w:szCs w:val="24"/>
                <w:lang w:eastAsia="es-CR"/>
              </w:rPr>
            </w:pPr>
          </w:p>
          <w:p w:rsidR="00000000" w:rsidRDefault="003C3760">
            <w:pPr>
              <w:jc w:val="both"/>
              <w:rPr>
                <w:rFonts w:ascii="Arial" w:eastAsia="Calibri" w:hAnsi="Arial" w:cs="Arial"/>
                <w:color w:val="000000"/>
                <w:sz w:val="24"/>
                <w:szCs w:val="24"/>
                <w:lang w:eastAsia="es-CR"/>
              </w:rPr>
            </w:pPr>
          </w:p>
          <w:p w:rsidR="00000000" w:rsidRDefault="003C3760">
            <w:pPr>
              <w:jc w:val="both"/>
              <w:rPr>
                <w:rFonts w:ascii="Arial" w:eastAsia="Calibri" w:hAnsi="Arial" w:cs="Arial"/>
                <w:color w:val="000000"/>
                <w:sz w:val="24"/>
                <w:szCs w:val="24"/>
                <w:lang w:eastAsia="es-CR"/>
              </w:rPr>
            </w:pPr>
            <w:r>
              <w:rPr>
                <w:rFonts w:ascii="Arial" w:eastAsia="Calibri" w:hAnsi="Arial" w:cs="Arial"/>
                <w:color w:val="000000"/>
                <w:sz w:val="24"/>
                <w:szCs w:val="24"/>
                <w:lang w:eastAsia="es-CR"/>
              </w:rPr>
              <w:t>El resto del país mantiene el estado de Alerta Amarilla.</w:t>
            </w:r>
          </w:p>
          <w:p w:rsidR="00000000" w:rsidRDefault="003C3760">
            <w:pPr>
              <w:rPr>
                <w:rFonts w:ascii="Arial" w:hAnsi="Arial" w:cs="Arial"/>
                <w:b/>
                <w:sz w:val="24"/>
                <w:lang w:val="es-ES"/>
              </w:rPr>
            </w:pPr>
            <w:r>
              <w:rPr>
                <w:rFonts w:ascii="Arial" w:hAnsi="Arial" w:cs="Arial"/>
                <w:b/>
                <w:sz w:val="24"/>
                <w:lang w:val="es-ES"/>
              </w:rPr>
              <w:t>Alerta Sindrómica por síntomas respiratorio</w:t>
            </w:r>
            <w:r>
              <w:rPr>
                <w:rFonts w:ascii="Arial" w:hAnsi="Arial" w:cs="Arial"/>
                <w:b/>
                <w:sz w:val="24"/>
                <w:lang w:val="es-ES"/>
              </w:rPr>
              <w:t>s</w:t>
            </w:r>
          </w:p>
          <w:p w:rsidR="00000000" w:rsidRDefault="003C3760">
            <w:pPr>
              <w:jc w:val="both"/>
              <w:rPr>
                <w:rFonts w:ascii="Arial" w:hAnsi="Arial" w:cs="Arial"/>
                <w:sz w:val="24"/>
                <w:lang w:val="es-ES"/>
              </w:rPr>
            </w:pPr>
            <w:r>
              <w:rPr>
                <w:rFonts w:ascii="Arial" w:hAnsi="Arial" w:cs="Arial"/>
                <w:sz w:val="24"/>
                <w:lang w:val="es-ES"/>
              </w:rPr>
              <w:t xml:space="preserve">Como parte de las medidas preventivas para monitorear los cantones en donde existe una alta probabilidad de aumento de casos por COVID-19, </w:t>
            </w:r>
            <w:r>
              <w:rPr>
                <w:rFonts w:ascii="Arial" w:hAnsi="Arial" w:cs="Arial"/>
                <w:color w:val="000000" w:themeColor="text1"/>
                <w:sz w:val="24"/>
                <w:szCs w:val="24"/>
              </w:rPr>
              <w:t>debido al incremento en las consultas por tos y fiebre,</w:t>
            </w:r>
            <w:r>
              <w:rPr>
                <w:rFonts w:ascii="Arial" w:hAnsi="Arial" w:cs="Arial"/>
                <w:sz w:val="24"/>
                <w:lang w:val="es-ES"/>
              </w:rPr>
              <w:t xml:space="preserve"> la CNE mantiene la condición de alerta sindrómica para 94 d</w:t>
            </w:r>
            <w:r>
              <w:rPr>
                <w:rFonts w:ascii="Arial" w:hAnsi="Arial" w:cs="Arial"/>
                <w:sz w:val="24"/>
                <w:lang w:val="es-ES"/>
              </w:rPr>
              <w:t xml:space="preserve">istritos de 43 cantones en el país que se encuentran en alerta amarilla. </w:t>
            </w:r>
          </w:p>
          <w:p w:rsidR="00000000" w:rsidRDefault="003C3760">
            <w:pPr>
              <w:jc w:val="both"/>
              <w:rPr>
                <w:rFonts w:ascii="Arial" w:hAnsi="Arial" w:cs="Arial"/>
                <w:b/>
                <w:bCs/>
                <w:sz w:val="24"/>
                <w:lang w:val="es-ES"/>
              </w:rPr>
            </w:pPr>
            <w:r>
              <w:rPr>
                <w:rFonts w:ascii="Arial" w:hAnsi="Arial" w:cs="Arial"/>
                <w:b/>
                <w:bCs/>
                <w:sz w:val="24"/>
                <w:lang w:val="es-ES"/>
              </w:rPr>
              <w:t>Acciones comunales mediante modelo de gestión compartida</w:t>
            </w:r>
          </w:p>
          <w:p w:rsidR="00000000" w:rsidRDefault="003C3760">
            <w:pPr>
              <w:jc w:val="both"/>
              <w:rPr>
                <w:rFonts w:ascii="Arial" w:hAnsi="Arial" w:cs="Arial"/>
                <w:sz w:val="24"/>
                <w:lang w:val="es-ES"/>
              </w:rPr>
            </w:pPr>
            <w:r>
              <w:rPr>
                <w:rFonts w:ascii="Arial" w:hAnsi="Arial" w:cs="Arial"/>
                <w:sz w:val="24"/>
                <w:lang w:val="es-ES"/>
              </w:rPr>
              <w:t xml:space="preserve">Alexander Solís, presidente de la Comisión Nacional de </w:t>
            </w:r>
            <w:r>
              <w:rPr>
                <w:rFonts w:ascii="Arial" w:hAnsi="Arial" w:cs="Arial"/>
                <w:sz w:val="24"/>
                <w:lang w:val="es-ES"/>
              </w:rPr>
              <w:t>Prevención de Riesgos y Atención de Emergencias (CNE) señaló su satisfacción por el compromiso de los cantones al aplicar el modelo de gestión en los territorios.</w:t>
            </w:r>
          </w:p>
          <w:p w:rsidR="00000000" w:rsidRDefault="003C3760">
            <w:pPr>
              <w:jc w:val="both"/>
              <w:rPr>
                <w:rFonts w:ascii="Arial" w:hAnsi="Arial" w:cs="Arial"/>
                <w:sz w:val="24"/>
                <w:lang w:val="es-ES"/>
              </w:rPr>
            </w:pPr>
            <w:r>
              <w:rPr>
                <w:rFonts w:ascii="Arial" w:hAnsi="Arial" w:cs="Arial"/>
                <w:sz w:val="24"/>
                <w:lang w:val="es-ES"/>
              </w:rPr>
              <w:t>Además, Solís ratificó que este modelo es de mejora continua con una revisión quincenal que e</w:t>
            </w:r>
            <w:r>
              <w:rPr>
                <w:rFonts w:ascii="Arial" w:hAnsi="Arial" w:cs="Arial"/>
                <w:sz w:val="24"/>
                <w:lang w:val="es-ES"/>
              </w:rPr>
              <w:t xml:space="preserve">nlaza los esfuerzos entre las comunidades, el sector productivo o comercial y el gobierno. </w:t>
            </w:r>
          </w:p>
          <w:p w:rsidR="00000000" w:rsidRDefault="003C3760">
            <w:pPr>
              <w:jc w:val="both"/>
              <w:rPr>
                <w:rFonts w:ascii="Arial" w:hAnsi="Arial" w:cs="Arial"/>
                <w:sz w:val="24"/>
                <w:lang w:val="es-ES"/>
              </w:rPr>
            </w:pPr>
            <w:r>
              <w:rPr>
                <w:rFonts w:ascii="Arial" w:hAnsi="Arial" w:cs="Arial"/>
                <w:sz w:val="24"/>
                <w:lang w:val="es-ES"/>
              </w:rPr>
              <w:t xml:space="preserve">Cada Plan Local es dinámico y mediante el fortalecimiento de este plan, sumado al Índice de Riesgo Cantonal (IRC), se adaptarán a las necesidades </w:t>
            </w:r>
            <w:r>
              <w:rPr>
                <w:rFonts w:ascii="Arial" w:hAnsi="Arial" w:cs="Arial"/>
                <w:sz w:val="24"/>
                <w:lang w:val="es-ES"/>
              </w:rPr>
              <w:lastRenderedPageBreak/>
              <w:t xml:space="preserve">y riesgos de cada </w:t>
            </w:r>
            <w:r>
              <w:rPr>
                <w:rFonts w:ascii="Arial" w:hAnsi="Arial" w:cs="Arial"/>
                <w:sz w:val="24"/>
                <w:lang w:val="es-ES"/>
              </w:rPr>
              <w:t xml:space="preserve">territorio, lo cual permitirá la mejora continua de los planes y con ella la apertura controlada en las comunidades. </w:t>
            </w:r>
          </w:p>
          <w:p w:rsidR="00000000" w:rsidRDefault="003C3760">
            <w:pPr>
              <w:jc w:val="both"/>
              <w:rPr>
                <w:b/>
                <w:color w:val="000000" w:themeColor="text1"/>
                <w:sz w:val="24"/>
                <w:szCs w:val="24"/>
              </w:rPr>
            </w:pPr>
          </w:p>
        </w:tc>
        <w:tc>
          <w:tcPr>
            <w:tcW w:w="269" w:type="dxa"/>
            <w:tcBorders>
              <w:top w:val="single" w:sz="4" w:space="0" w:color="auto"/>
              <w:left w:val="single" w:sz="4" w:space="0" w:color="auto"/>
              <w:bottom w:val="single" w:sz="4" w:space="0" w:color="auto"/>
              <w:right w:val="single" w:sz="4" w:space="0" w:color="auto"/>
            </w:tcBorders>
          </w:tcPr>
          <w:p w:rsidR="00000000" w:rsidRDefault="003C3760">
            <w:pPr>
              <w:spacing w:after="0" w:line="240" w:lineRule="auto"/>
              <w:jc w:val="center"/>
              <w:rPr>
                <w:bCs/>
                <w:color w:val="000000"/>
                <w:sz w:val="40"/>
                <w:szCs w:val="40"/>
                <w:lang w:eastAsia="es-CR"/>
              </w:rPr>
            </w:pPr>
          </w:p>
        </w:tc>
      </w:tr>
      <w:tr w:rsidR="00000000">
        <w:tc>
          <w:tcPr>
            <w:tcW w:w="270" w:type="dxa"/>
            <w:tcBorders>
              <w:top w:val="single" w:sz="4" w:space="0" w:color="auto"/>
              <w:left w:val="single" w:sz="4" w:space="0" w:color="auto"/>
              <w:bottom w:val="single" w:sz="4" w:space="0" w:color="auto"/>
              <w:right w:val="single" w:sz="4" w:space="0" w:color="auto"/>
            </w:tcBorders>
          </w:tcPr>
          <w:p w:rsidR="00000000" w:rsidRDefault="003C3760">
            <w:pPr>
              <w:spacing w:after="0" w:line="240" w:lineRule="auto"/>
              <w:jc w:val="center"/>
              <w:rPr>
                <w:bCs/>
                <w:color w:val="000000"/>
                <w:sz w:val="40"/>
                <w:szCs w:val="40"/>
                <w:lang w:eastAsia="es-CR"/>
              </w:rPr>
            </w:pPr>
          </w:p>
        </w:tc>
        <w:tc>
          <w:tcPr>
            <w:tcW w:w="824" w:type="dxa"/>
            <w:tcBorders>
              <w:top w:val="single" w:sz="4" w:space="0" w:color="auto"/>
              <w:left w:val="single" w:sz="4" w:space="0" w:color="auto"/>
              <w:bottom w:val="single" w:sz="4" w:space="0" w:color="auto"/>
              <w:right w:val="single" w:sz="4" w:space="0" w:color="auto"/>
            </w:tcBorders>
          </w:tcPr>
          <w:p w:rsidR="00000000" w:rsidRDefault="003C3760">
            <w:pPr>
              <w:spacing w:after="0" w:line="240" w:lineRule="auto"/>
              <w:jc w:val="center"/>
              <w:rPr>
                <w:bCs/>
                <w:color w:val="000000"/>
                <w:sz w:val="40"/>
                <w:szCs w:val="40"/>
                <w:lang w:eastAsia="es-CR"/>
              </w:rPr>
            </w:pPr>
          </w:p>
        </w:tc>
        <w:tc>
          <w:tcPr>
            <w:tcW w:w="3251" w:type="dxa"/>
            <w:tcBorders>
              <w:top w:val="single" w:sz="4" w:space="0" w:color="auto"/>
              <w:left w:val="single" w:sz="4" w:space="0" w:color="auto"/>
              <w:bottom w:val="single" w:sz="4" w:space="0" w:color="auto"/>
              <w:right w:val="single" w:sz="4" w:space="0" w:color="auto"/>
            </w:tcBorders>
          </w:tcPr>
          <w:p w:rsidR="00000000" w:rsidRDefault="003C3760">
            <w:pPr>
              <w:spacing w:after="0" w:line="240" w:lineRule="auto"/>
              <w:jc w:val="center"/>
              <w:rPr>
                <w:bCs/>
                <w:color w:val="000000"/>
                <w:sz w:val="40"/>
                <w:szCs w:val="40"/>
                <w:lang w:eastAsia="es-CR"/>
              </w:rPr>
            </w:pPr>
          </w:p>
        </w:tc>
        <w:tc>
          <w:tcPr>
            <w:tcW w:w="3210" w:type="dxa"/>
            <w:tcBorders>
              <w:top w:val="single" w:sz="4" w:space="0" w:color="auto"/>
              <w:left w:val="single" w:sz="4" w:space="0" w:color="auto"/>
              <w:bottom w:val="single" w:sz="4" w:space="0" w:color="auto"/>
              <w:right w:val="single" w:sz="4" w:space="0" w:color="auto"/>
            </w:tcBorders>
          </w:tcPr>
          <w:p w:rsidR="00000000" w:rsidRDefault="003C3760">
            <w:pPr>
              <w:spacing w:after="0" w:line="240" w:lineRule="auto"/>
              <w:jc w:val="center"/>
              <w:rPr>
                <w:bCs/>
                <w:color w:val="000000"/>
                <w:sz w:val="40"/>
                <w:szCs w:val="40"/>
                <w:lang w:eastAsia="es-CR"/>
              </w:rPr>
            </w:pPr>
          </w:p>
        </w:tc>
        <w:tc>
          <w:tcPr>
            <w:tcW w:w="284" w:type="dxa"/>
            <w:tcBorders>
              <w:top w:val="single" w:sz="4" w:space="0" w:color="auto"/>
              <w:left w:val="single" w:sz="4" w:space="0" w:color="auto"/>
              <w:bottom w:val="single" w:sz="4" w:space="0" w:color="auto"/>
              <w:right w:val="single" w:sz="4" w:space="0" w:color="auto"/>
            </w:tcBorders>
          </w:tcPr>
          <w:p w:rsidR="00000000" w:rsidRDefault="003C3760">
            <w:pPr>
              <w:spacing w:after="0" w:line="240" w:lineRule="auto"/>
              <w:jc w:val="center"/>
              <w:rPr>
                <w:bCs/>
                <w:color w:val="000000"/>
                <w:sz w:val="40"/>
                <w:szCs w:val="40"/>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3C3760">
            <w:pPr>
              <w:spacing w:after="0" w:line="240" w:lineRule="auto"/>
              <w:jc w:val="center"/>
              <w:rPr>
                <w:bCs/>
                <w:color w:val="000000"/>
                <w:sz w:val="40"/>
                <w:szCs w:val="40"/>
                <w:lang w:eastAsia="es-CR"/>
              </w:rPr>
            </w:pPr>
          </w:p>
        </w:tc>
      </w:tr>
    </w:tbl>
    <w:p w:rsidR="00000000" w:rsidRDefault="003C3760">
      <w:pPr>
        <w:jc w:val="right"/>
        <w:rPr>
          <w:rFonts w:cstheme="minorHAnsi"/>
          <w:bCs/>
          <w:sz w:val="20"/>
          <w:szCs w:val="20"/>
        </w:rPr>
      </w:pPr>
    </w:p>
    <w:sectPr w:rsidR="00000000">
      <w:headerReference w:type="default" r:id="rId8"/>
      <w:pgSz w:w="11907" w:h="16839"/>
      <w:pgMar w:top="1134" w:right="1134" w:bottom="1134" w:left="1134" w:header="426"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3C3760">
      <w:pPr>
        <w:spacing w:after="0" w:line="240" w:lineRule="auto"/>
      </w:pPr>
      <w:r>
        <w:separator/>
      </w:r>
    </w:p>
  </w:endnote>
  <w:endnote w:type="continuationSeparator" w:id="0">
    <w:p w:rsidR="00000000" w:rsidRDefault="003C3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3C3760">
      <w:pPr>
        <w:spacing w:after="0" w:line="240" w:lineRule="auto"/>
      </w:pPr>
      <w:r>
        <w:separator/>
      </w:r>
    </w:p>
  </w:footnote>
  <w:footnote w:type="continuationSeparator" w:id="0">
    <w:p w:rsidR="00000000" w:rsidRDefault="003C3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3C3760">
    <w:pPr>
      <w:pStyle w:val="Encabezado"/>
      <w:ind w:left="2124" w:right="618"/>
      <w:jc w:val="right"/>
      <w:rPr>
        <w:rFonts w:ascii="Times New Roman" w:hAnsi="Times New Roman" w:cs="Times New Roman"/>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381B8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4DA45ACC"/>
    <w:multiLevelType w:val="hybridMultilevel"/>
    <w:tmpl w:val="211441F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872110044">
    <w:abstractNumId w:val="0"/>
  </w:num>
  <w:num w:numId="2" w16cid:durableId="1915119593">
    <w:abstractNumId w:val="0"/>
  </w:num>
  <w:num w:numId="3" w16cid:durableId="330522175">
    <w:abstractNumId w:val="0"/>
    <w:lvlOverride w:ilvl="0"/>
  </w:num>
  <w:num w:numId="4" w16cid:durableId="1851404508">
    <w:abstractNumId w:val="1"/>
  </w:num>
  <w:num w:numId="5" w16cid:durableId="37862668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760"/>
    <w:rsid w:val="003C3760"/>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unhideWhenUsed/>
    <w:rPr>
      <w:color w:val="0000FF"/>
      <w:u w:val="single"/>
    </w:rPr>
  </w:style>
  <w:style w:type="character" w:styleId="Hipervnculovisitado">
    <w:name w:val="FollowedHyperlink"/>
    <w:basedOn w:val="Fuentedeprrafopredeter"/>
    <w:uiPriority w:val="99"/>
    <w:semiHidden/>
    <w:unhideWhenUsed/>
    <w:rPr>
      <w:color w:val="954F72" w:themeColor="followedHyperlink"/>
      <w:u w:val="single"/>
    </w:rPr>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E74B5" w:themeColor="accent1" w:themeShade="BF"/>
      <w:sz w:val="32"/>
      <w:szCs w:val="32"/>
    </w:rPr>
  </w:style>
  <w:style w:type="paragraph" w:customStyle="1" w:styleId="msonormal0">
    <w:name w:val="msonormal"/>
    <w:basedOn w:val="Normal"/>
    <w:uiPriority w:val="99"/>
    <w:semiHidden/>
    <w:rPr>
      <w:rFonts w:ascii="Times New Roman" w:hAnsi="Times New Roman" w:cs="Times New Roman"/>
      <w:sz w:val="24"/>
      <w:szCs w:val="24"/>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style>
  <w:style w:type="paragraph" w:styleId="Piedepgina">
    <w:name w:val="footer"/>
    <w:basedOn w:val="Normal"/>
    <w:link w:val="PiedepginaCar"/>
    <w:uiPriority w:val="99"/>
    <w:semiHidden/>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style>
  <w:style w:type="paragraph" w:styleId="Descripcin">
    <w:name w:val="caption"/>
    <w:basedOn w:val="Normal"/>
    <w:next w:val="Normal"/>
    <w:uiPriority w:val="99"/>
    <w:semiHidden/>
    <w:unhideWhenUsed/>
    <w:qFormat/>
    <w:pPr>
      <w:spacing w:after="0" w:line="240" w:lineRule="auto"/>
      <w:jc w:val="right"/>
    </w:pPr>
    <w:rPr>
      <w:rFonts w:ascii="Comic Sans MS" w:eastAsia="Times New Roman" w:hAnsi="Comic Sans MS" w:cs="Times New Roman"/>
      <w:b/>
      <w:i/>
      <w:sz w:val="24"/>
      <w:szCs w:val="20"/>
      <w:lang w:val="es-ES_tradnl" w:eastAsia="es-ES"/>
    </w:rPr>
  </w:style>
  <w:style w:type="paragraph" w:styleId="Listaconvietas">
    <w:name w:val="List Bullet"/>
    <w:basedOn w:val="Normal"/>
    <w:uiPriority w:val="99"/>
    <w:semiHidden/>
    <w:unhideWhenUsed/>
    <w:pPr>
      <w:numPr>
        <w:numId w:val="3"/>
      </w:numPr>
      <w:contextualSpacing/>
    </w:p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Pr>
      <w:rFonts w:ascii="Segoe UI" w:hAnsi="Segoe UI" w:cs="Segoe UI" w:hint="default"/>
      <w:sz w:val="18"/>
      <w:szCs w:val="18"/>
    </w:rPr>
  </w:style>
  <w:style w:type="paragraph" w:styleId="Sinespaciado">
    <w:name w:val="No Spacing"/>
    <w:uiPriority w:val="1"/>
    <w:semiHidden/>
    <w:qFormat/>
    <w:rPr>
      <w:sz w:val="22"/>
      <w:szCs w:val="22"/>
    </w:rPr>
  </w:style>
  <w:style w:type="paragraph" w:styleId="Prrafodelista">
    <w:name w:val="List Paragraph"/>
    <w:basedOn w:val="Normal"/>
    <w:uiPriority w:val="34"/>
    <w:semiHidden/>
    <w:qFormat/>
    <w:pPr>
      <w:ind w:left="720"/>
      <w:contextualSpacing/>
    </w:pPr>
  </w:style>
  <w:style w:type="paragraph" w:customStyle="1" w:styleId="Default">
    <w:name w:val="Default"/>
    <w:uiPriority w:val="99"/>
    <w:semiHidden/>
    <w:pPr>
      <w:autoSpaceDE w:val="0"/>
      <w:autoSpaceDN w:val="0"/>
      <w:adjustRightInd w:val="0"/>
    </w:pPr>
    <w:rPr>
      <w:rFonts w:ascii="Arial" w:hAnsi="Arial" w:cs="Arial"/>
      <w:color w:val="000000"/>
      <w:sz w:val="24"/>
      <w:szCs w:val="24"/>
    </w:r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5oscura-nfasis6">
    <w:name w:val="Grid Table 5 Dark Accent 6"/>
    <w:basedOn w:val="Tablanormal"/>
    <w:uiPriority w:val="50"/>
    <w:rPr>
      <w:rFonts w:ascii="Arial" w:eastAsia="Arial" w:hAnsi="Arial" w:cs="Arial"/>
      <w:sz w:val="22"/>
      <w:szCs w:val="22"/>
      <w:lang w:eastAsia="es-ES_tradnl"/>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ladecuadrcula4-nfasis21">
    <w:name w:val="Tabla de cuadrícula 4 - Énfasis 21"/>
    <w:basedOn w:val="Tablanormal"/>
    <w:uiPriority w:val="49"/>
    <w:rPr>
      <w:sz w:val="22"/>
      <w:szCs w:val="22"/>
    </w:rPr>
    <w:tblPr>
      <w:tblStyleRowBandSize w:val="1"/>
      <w:tblStyleColBandSize w:val="1"/>
      <w:tblInd w:w="0" w:type="nil"/>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style>
  <w:style w:type="table" w:customStyle="1" w:styleId="Tabladecuadrcula4-nfasis41">
    <w:name w:val="Tabla de cuadrícula 4 - Énfasis 41"/>
    <w:basedOn w:val="Tablanormal"/>
    <w:uiPriority w:val="49"/>
    <w:tbl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1D2FF-81AC-4EAD-BA32-0B4CC6AD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3412</Characters>
  <Application>Microsoft Office Word</Application>
  <DocSecurity>0</DocSecurity>
  <Lines>28</Lines>
  <Paragraphs>8</Paragraphs>
  <ScaleCrop>false</ScaleCrop>
  <Company>Microsoft</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Hidalgo Madrigal</dc:creator>
  <cp:keywords/>
  <dc:description/>
  <cp:lastModifiedBy>David Eduarte Vargas</cp:lastModifiedBy>
  <cp:revision>2</cp:revision>
  <cp:lastPrinted>2019-08-06T21:41:00Z</cp:lastPrinted>
  <dcterms:created xsi:type="dcterms:W3CDTF">2022-05-13T19:30:00Z</dcterms:created>
  <dcterms:modified xsi:type="dcterms:W3CDTF">2022-05-13T19:30:00Z</dcterms:modified>
</cp:coreProperties>
</file>