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21"/>
        <w:gridCol w:w="1062"/>
        <w:gridCol w:w="3458"/>
        <w:gridCol w:w="3417"/>
        <w:gridCol w:w="530"/>
        <w:gridCol w:w="221"/>
      </w:tblGrid>
      <w:tr w:rsidR="00000000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2EA7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  <w:bookmarkStart w:id="0" w:name="_Hlk50468281"/>
          </w:p>
        </w:tc>
        <w:tc>
          <w:tcPr>
            <w:tcW w:w="7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2EA7">
            <w:pPr>
              <w:pStyle w:val="Ttulo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CNE amplía Alerta Naranja en cantones de Heredia, Puntarenas y Limón</w:t>
            </w:r>
          </w:p>
          <w:p w:rsidR="00000000" w:rsidRDefault="00802EA7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>
                  <wp:extent cx="5923915" cy="4580255"/>
                  <wp:effectExtent l="0" t="0" r="635" b="0"/>
                  <wp:docPr id="1" name="Imagen 6" descr="Imagen que contiene texto, map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 descr="Imagen que contiene texto, mapa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3915" cy="458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02EA7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bCs/>
                <w:i/>
                <w:iCs/>
                <w:lang w:val="es-ES"/>
              </w:rPr>
            </w:pPr>
            <w:r>
              <w:rPr>
                <w:rFonts w:ascii="Arial" w:hAnsi="Arial" w:cs="Arial"/>
                <w:bCs/>
                <w:i/>
                <w:iCs/>
                <w:lang w:val="es-ES"/>
              </w:rPr>
              <w:t xml:space="preserve">Se trata de los cantones de Belén en Heredia, Limón en esa provincia y los cantones de Garabito, Montes </w:t>
            </w:r>
            <w:r>
              <w:rPr>
                <w:rFonts w:ascii="Arial" w:hAnsi="Arial" w:cs="Arial"/>
                <w:bCs/>
                <w:i/>
                <w:iCs/>
                <w:lang w:val="es-ES"/>
              </w:rPr>
              <w:t xml:space="preserve">de Oro y el distrito de Palmar del cantón de Osa en la provincia de Puntarenas. </w:t>
            </w:r>
          </w:p>
          <w:p w:rsidR="00000000" w:rsidRDefault="00802EA7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bCs/>
                <w:i/>
                <w:iCs/>
                <w:lang w:val="es-ES"/>
              </w:rPr>
            </w:pPr>
            <w:r>
              <w:rPr>
                <w:rFonts w:ascii="Arial" w:hAnsi="Arial" w:cs="Arial"/>
                <w:bCs/>
                <w:i/>
                <w:iCs/>
                <w:lang w:val="es-ES"/>
              </w:rPr>
              <w:t>Valoración epidemiológica permitió bajar de Alerta Naranja a Alerta Amarilla a los cantones de Aserrí, Poás y Corredores.</w:t>
            </w:r>
          </w:p>
          <w:p w:rsidR="00000000" w:rsidRDefault="00802EA7">
            <w:pPr>
              <w:spacing w:after="0" w:line="240" w:lineRule="auto"/>
              <w:ind w:left="360"/>
              <w:jc w:val="both"/>
              <w:rPr>
                <w:rFonts w:ascii="Arial" w:hAnsi="Arial" w:cs="Arial"/>
                <w:bCs/>
                <w:i/>
                <w:iCs/>
              </w:rPr>
            </w:pPr>
          </w:p>
          <w:p w:rsidR="00000000" w:rsidRDefault="00802EA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San José, 08 de septiembre del 2020</w:t>
            </w:r>
            <w:r>
              <w:rPr>
                <w:rFonts w:ascii="Arial" w:hAnsi="Arial" w:cs="Arial"/>
                <w:sz w:val="24"/>
              </w:rPr>
              <w:t>. Ante el aumento</w:t>
            </w:r>
            <w:r>
              <w:rPr>
                <w:rFonts w:ascii="Arial" w:hAnsi="Arial" w:cs="Arial"/>
                <w:sz w:val="24"/>
              </w:rPr>
              <w:t xml:space="preserve"> de casos y el riesgo de transmisión por el COVID-19, la Comisión Nacional de Prevención de Riesgos y Atención de Emergencias (CNE) amplió el estado de </w:t>
            </w:r>
            <w:r>
              <w:rPr>
                <w:rFonts w:ascii="Arial" w:hAnsi="Arial" w:cs="Arial"/>
                <w:b/>
                <w:bCs/>
                <w:sz w:val="24"/>
              </w:rPr>
              <w:t xml:space="preserve">ALERTA NARANJA </w:t>
            </w:r>
            <w:r>
              <w:rPr>
                <w:rFonts w:ascii="Arial" w:hAnsi="Arial" w:cs="Arial"/>
                <w:sz w:val="24"/>
              </w:rPr>
              <w:t>para varios cantones de las provincias de Heredia, Puntarenas y Limón.</w:t>
            </w:r>
          </w:p>
          <w:p w:rsidR="00000000" w:rsidRDefault="00802EA7">
            <w:pP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s-CR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s-CR"/>
              </w:rPr>
              <w:t>La valoración epid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s-CR"/>
              </w:rPr>
              <w:t xml:space="preserve">emiológica realizada por el Ministerio de Salud y la Sala de Situación Nacional, determinaron un </w:t>
            </w:r>
            <w:bookmarkStart w:id="1" w:name="_Hlk50456128"/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s-CR"/>
              </w:rPr>
              <w:t>aumento significativo de casos</w:t>
            </w:r>
            <w:bookmarkEnd w:id="1"/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s-CR"/>
              </w:rPr>
              <w:t xml:space="preserve"> desde 116% más hasta 866%, razón por la cual, estos lugares cambian su condición de Alerta Amarilla a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s-CR"/>
              </w:rPr>
              <w:t>Alerta Naranja:</w:t>
            </w:r>
          </w:p>
          <w:p w:rsidR="00000000" w:rsidRDefault="00802EA7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s-CR"/>
              </w:rPr>
            </w:pPr>
            <w:r>
              <w:rPr>
                <w:rFonts w:ascii="Arial" w:eastAsia="Calibri" w:hAnsi="Arial" w:cs="Arial"/>
                <w:b/>
                <w:noProof/>
                <w:color w:val="000000"/>
                <w:sz w:val="24"/>
                <w:szCs w:val="24"/>
                <w:lang w:eastAsia="es-CR"/>
              </w:rPr>
              <w:lastRenderedPageBreak/>
              <w:drawing>
                <wp:inline distT="0" distB="0" distL="0" distR="0">
                  <wp:extent cx="5398770" cy="2170430"/>
                  <wp:effectExtent l="0" t="0" r="0" b="1270"/>
                  <wp:docPr id="2" name="Imagen 1" descr="Captura de pantalla de un celular con text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Captura de pantalla de un celular con texto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8770" cy="2170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02EA7">
            <w:pPr>
              <w:rPr>
                <w:rFonts w:ascii="Arial" w:eastAsia="Calibri" w:hAnsi="Arial" w:cs="Arial"/>
                <w:color w:val="000000"/>
                <w:sz w:val="24"/>
                <w:szCs w:val="24"/>
                <w:lang w:eastAsia="es-CR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s-CR"/>
              </w:rPr>
              <w:t>Asimismo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s-CR"/>
              </w:rPr>
              <w:t xml:space="preserve">, esta valoración permitió determinar una disminución en el índice de riesgo cantonal en San José, Alajuela y Puntarenas, con lo cual se baja de Alerta Naranja a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s-CR"/>
              </w:rPr>
              <w:t>Alerta Amarilla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s-CR"/>
              </w:rPr>
              <w:t xml:space="preserve"> a los siguientes cantones:  </w:t>
            </w:r>
          </w:p>
          <w:p w:rsidR="00000000" w:rsidRDefault="00802EA7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s-CR"/>
              </w:rPr>
            </w:pPr>
            <w:r>
              <w:rPr>
                <w:rFonts w:ascii="Arial" w:eastAsia="Calibri" w:hAnsi="Arial" w:cs="Arial"/>
                <w:noProof/>
                <w:color w:val="000000"/>
                <w:sz w:val="24"/>
                <w:szCs w:val="24"/>
                <w:lang w:eastAsia="es-CR"/>
              </w:rPr>
              <w:drawing>
                <wp:inline distT="0" distB="0" distL="0" distR="0">
                  <wp:extent cx="5398770" cy="1351915"/>
                  <wp:effectExtent l="0" t="0" r="0" b="635"/>
                  <wp:docPr id="3" name="Imagen 2" descr="Captura de pantalla de un celular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Captura de pantalla de un celular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8770" cy="1351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02EA7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Alertas tempranas por </w:t>
            </w:r>
            <w:r>
              <w:rPr>
                <w:rFonts w:ascii="Arial" w:hAnsi="Arial" w:cs="Arial"/>
                <w:b/>
                <w:sz w:val="24"/>
              </w:rPr>
              <w:t>síntomas respiratorios</w:t>
            </w:r>
          </w:p>
          <w:p w:rsidR="00000000" w:rsidRDefault="00802EA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Por otra parte, con el fin de darles vigilancia a los cantones en los que existe una alta probabilidad de aumento de casos por COVID-19, la CNE mantiene la condición de alerta temprana (alerta sindrómica) para 82 distritos de 32 cant</w:t>
            </w:r>
            <w:r>
              <w:rPr>
                <w:rFonts w:ascii="Arial" w:hAnsi="Arial" w:cs="Arial"/>
                <w:sz w:val="24"/>
              </w:rPr>
              <w:t xml:space="preserve">ones en el territorio nacional. </w:t>
            </w:r>
          </w:p>
          <w:p w:rsidR="00000000" w:rsidRDefault="00802EA7">
            <w:pPr>
              <w:spacing w:line="25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5136515" cy="6114415"/>
                  <wp:effectExtent l="0" t="0" r="6985" b="635"/>
                  <wp:docPr id="4" name="Imagen 3" descr="Captura de pantalla de un celular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Captura de pantalla de un celular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6515" cy="6114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02EA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Tras los cambios indicados, los cantones que se encuentran en condición de Alerta Naranja son:</w:t>
            </w:r>
          </w:p>
          <w:p w:rsidR="00000000" w:rsidRDefault="00802EA7">
            <w:pPr>
              <w:spacing w:line="254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5255895" cy="2846705"/>
                  <wp:effectExtent l="0" t="0" r="1905" b="0"/>
                  <wp:docPr id="5" name="Imagen 5" descr="Captura de pantalla de un celular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" descr="Captura de pantalla de un celular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5895" cy="284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02EA7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Acciones comunales mediante modelo de gestión compartida</w:t>
            </w:r>
          </w:p>
          <w:p w:rsidR="00000000" w:rsidRDefault="00802EA7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El país fortalece sus 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acciones, con la puesta en marcha del </w:t>
            </w:r>
            <w:r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modelo de gestión compartida “Costa Rica trabaja y se cuida”, 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mediante el cual el gobierno y las municipalidades, implementan una estrategia complementaria, por medio de la participación de los territorios, para crear 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un balance entre la actividad productiva y las medidas sanitarias con la definición de ejes de coordinación que surgieron de varias sesiones de trabajo. </w:t>
            </w:r>
          </w:p>
          <w:p w:rsidR="00000000" w:rsidRDefault="00802EA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El señor Alexander Solís Delgado, presidente de la CNE, indicó en conferencia de prensa que “Es necesa</w:t>
            </w:r>
            <w:r>
              <w:rPr>
                <w:rFonts w:ascii="Arial" w:hAnsi="Arial" w:cs="Arial"/>
                <w:sz w:val="24"/>
              </w:rPr>
              <w:t>rio acatar obligatoriamente las medidas emitidas por el Ministerio de Salud. Por la cual hacemos un llamado para que seamos responsables con nosotros mismos y por ende con nuestra comunidad, de ahí radica nuestro compromiso con el Modelo de Gestión compart</w:t>
            </w:r>
            <w:r>
              <w:rPr>
                <w:rFonts w:ascii="Arial" w:hAnsi="Arial" w:cs="Arial"/>
                <w:sz w:val="24"/>
              </w:rPr>
              <w:t>ida: Costa Rica trabaja y se cuida.”</w:t>
            </w:r>
          </w:p>
          <w:p w:rsidR="00000000" w:rsidRDefault="00802EA7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 xml:space="preserve">Para el jerarca, el trabajo articulado entre las instituciones que integran el Comité Municipal de Emergencia junto a la coordinación del alcalde o alcaldesa 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robustecerá</w:t>
            </w:r>
            <w:r>
              <w:rPr>
                <w:rFonts w:ascii="Arial" w:hAnsi="Arial" w:cs="Arial"/>
                <w:bCs/>
                <w:iCs/>
                <w:color w:val="5B9BD5" w:themeColor="accent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con buenas prácticas impulsadas por algunas munic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ipalidades del país para la reducción de la transmisión de casos, así como el cumplimiento de la responsabilidad de los diferentes sectores y ciudadanos involucrados.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2EA7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</w:tr>
      <w:tr w:rsidR="00000000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2EA7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2EA7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2EA7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2EA7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2EA7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2EA7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</w:tr>
      <w:bookmarkEnd w:id="0"/>
    </w:tbl>
    <w:p w:rsidR="00000000" w:rsidRDefault="00802EA7">
      <w:pPr>
        <w:jc w:val="right"/>
        <w:rPr>
          <w:rFonts w:cstheme="minorHAnsi"/>
          <w:bCs/>
          <w:sz w:val="20"/>
          <w:szCs w:val="20"/>
        </w:rPr>
      </w:pPr>
    </w:p>
    <w:sectPr w:rsidR="00000000">
      <w:headerReference w:type="default" r:id="rId13"/>
      <w:pgSz w:w="11907" w:h="16839"/>
      <w:pgMar w:top="1134" w:right="1134" w:bottom="1134" w:left="1134" w:header="426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802EA7">
      <w:pPr>
        <w:spacing w:after="0" w:line="240" w:lineRule="auto"/>
      </w:pPr>
      <w:r>
        <w:separator/>
      </w:r>
    </w:p>
  </w:endnote>
  <w:endnote w:type="continuationSeparator" w:id="0">
    <w:p w:rsidR="00000000" w:rsidRDefault="00802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802EA7">
      <w:pPr>
        <w:spacing w:after="0" w:line="240" w:lineRule="auto"/>
      </w:pPr>
      <w:r>
        <w:separator/>
      </w:r>
    </w:p>
  </w:footnote>
  <w:footnote w:type="continuationSeparator" w:id="0">
    <w:p w:rsidR="00000000" w:rsidRDefault="00802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802EA7">
    <w:pPr>
      <w:pStyle w:val="Encabezado"/>
      <w:ind w:left="2124" w:right="618"/>
      <w:jc w:val="right"/>
      <w:rPr>
        <w:rFonts w:ascii="Times New Roman" w:hAnsi="Times New Roman" w:cs="Times New Roman"/>
        <w:b/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4381B8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DA45ACC"/>
    <w:multiLevelType w:val="hybridMultilevel"/>
    <w:tmpl w:val="211441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4541300">
    <w:abstractNumId w:val="0"/>
  </w:num>
  <w:num w:numId="2" w16cid:durableId="2135052425">
    <w:abstractNumId w:val="0"/>
  </w:num>
  <w:num w:numId="3" w16cid:durableId="1464807203">
    <w:abstractNumId w:val="0"/>
    <w:lvlOverride w:ilvl="0"/>
  </w:num>
  <w:num w:numId="4" w16cid:durableId="1829905878">
    <w:abstractNumId w:val="1"/>
  </w:num>
  <w:num w:numId="5" w16cid:durableId="84063032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EA7"/>
    <w:rsid w:val="0080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ecimalSymbol w:val="."/>
  <w:listSeparator w:val=","/>
  <w15:chartTrackingRefBased/>
  <w15:docId w15:val="{AF86931B-E930-4963-BBC4-F681749B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2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semiHidden/>
    <w:unhideWhenUsed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paragraph" w:customStyle="1" w:styleId="msonormal0">
    <w:name w:val="msonormal"/>
    <w:basedOn w:val="Normal"/>
    <w:uiPriority w:val="99"/>
    <w:semiHidden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</w:style>
  <w:style w:type="paragraph" w:styleId="Piedepgina">
    <w:name w:val="footer"/>
    <w:basedOn w:val="Normal"/>
    <w:link w:val="PiedepginaCar"/>
    <w:uiPriority w:val="99"/>
    <w:semiHidden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</w:style>
  <w:style w:type="paragraph" w:styleId="Descripcin">
    <w:name w:val="caption"/>
    <w:basedOn w:val="Normal"/>
    <w:next w:val="Normal"/>
    <w:uiPriority w:val="99"/>
    <w:semiHidden/>
    <w:unhideWhenUsed/>
    <w:qFormat/>
    <w:pPr>
      <w:spacing w:after="0" w:line="240" w:lineRule="auto"/>
      <w:jc w:val="right"/>
    </w:pPr>
    <w:rPr>
      <w:rFonts w:ascii="Comic Sans MS" w:eastAsia="Times New Roman" w:hAnsi="Comic Sans MS" w:cs="Times New Roman"/>
      <w:b/>
      <w:i/>
      <w:sz w:val="24"/>
      <w:szCs w:val="20"/>
      <w:lang w:val="es-ES_tradnl" w:eastAsia="es-ES"/>
    </w:rPr>
  </w:style>
  <w:style w:type="paragraph" w:styleId="Listaconvietas">
    <w:name w:val="List Bullet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Pr>
      <w:rFonts w:ascii="Segoe UI" w:hAnsi="Segoe UI" w:cs="Segoe UI" w:hint="default"/>
      <w:sz w:val="18"/>
      <w:szCs w:val="18"/>
    </w:rPr>
  </w:style>
  <w:style w:type="paragraph" w:styleId="Sinespaciado">
    <w:name w:val="No Spacing"/>
    <w:uiPriority w:val="1"/>
    <w:semiHidden/>
    <w:qFormat/>
    <w:rPr>
      <w:sz w:val="22"/>
      <w:szCs w:val="22"/>
    </w:rPr>
  </w:style>
  <w:style w:type="paragraph" w:styleId="Prrafodelista">
    <w:name w:val="List Paragraph"/>
    <w:basedOn w:val="Normal"/>
    <w:uiPriority w:val="34"/>
    <w:semiHidden/>
    <w:qFormat/>
    <w:pPr>
      <w:ind w:left="720"/>
      <w:contextualSpacing/>
    </w:pPr>
  </w:style>
  <w:style w:type="paragraph" w:customStyle="1" w:styleId="Default">
    <w:name w:val="Default"/>
    <w:uiPriority w:val="99"/>
    <w:semiHidden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-nfasis21">
    <w:name w:val="Tabla de cuadrícula 4 - Énfasis 21"/>
    <w:basedOn w:val="Tablanormal"/>
    <w:uiPriority w:val="49"/>
    <w:rPr>
      <w:sz w:val="22"/>
      <w:szCs w:val="22"/>
    </w:rPr>
    <w:tblPr>
      <w:tblStyleRowBandSize w:val="1"/>
      <w:tblStyleColBandSize w:val="1"/>
      <w:tblInd w:w="0" w:type="nil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</w:style>
  <w:style w:type="table" w:customStyle="1" w:styleId="Tabladecuadrcula4-nfasis41">
    <w:name w:val="Tabla de cuadrícula 4 - Énfasis 41"/>
    <w:basedOn w:val="Tablanormal"/>
    <w:uiPriority w:val="49"/>
    <w:tblPr/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698E1-4B6F-430D-AD25-427B00D18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437</Words>
  <Characters>2406</Characters>
  <Application>Microsoft Office Word</Application>
  <DocSecurity>0</DocSecurity>
  <Lines>20</Lines>
  <Paragraphs>5</Paragraphs>
  <ScaleCrop>false</ScaleCrop>
  <Company>Microsoft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Hidalgo Madrigal</dc:creator>
  <cp:keywords/>
  <dc:description/>
  <cp:lastModifiedBy>David Eduarte Vargas</cp:lastModifiedBy>
  <cp:revision>2</cp:revision>
  <cp:lastPrinted>2019-08-06T21:41:00Z</cp:lastPrinted>
  <dcterms:created xsi:type="dcterms:W3CDTF">2022-05-13T19:35:00Z</dcterms:created>
  <dcterms:modified xsi:type="dcterms:W3CDTF">2022-05-13T19:35:00Z</dcterms:modified>
</cp:coreProperties>
</file>