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38"/>
        <w:gridCol w:w="2933"/>
        <w:gridCol w:w="2899"/>
        <w:gridCol w:w="463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pStyle w:val="Ttulo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CNE eleva a alerta naranja todo el Pacífico y Zona Norte</w:t>
            </w:r>
          </w:p>
          <w:p w:rsidR="00000000" w:rsidRDefault="00D76DEA">
            <w:pPr>
              <w:pStyle w:val="Ttulo1"/>
              <w:outlineLvl w:val="0"/>
            </w:pPr>
          </w:p>
          <w:p w:rsidR="00000000" w:rsidRDefault="00D76DEA">
            <w:pPr>
              <w:jc w:val="center"/>
              <w:rPr>
                <w:rFonts w:ascii="Arial" w:hAnsi="Arial" w:cs="Arial"/>
              </w:rPr>
            </w:pPr>
          </w:p>
          <w:p w:rsidR="00000000" w:rsidRDefault="00D76D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D76DE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4"/>
              </w:rPr>
              <w:drawing>
                <wp:inline distT="0" distB="0" distL="0" distR="0">
                  <wp:extent cx="5391150" cy="4158615"/>
                  <wp:effectExtent l="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15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76DEA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Huracán Iota podría generar lluvias más intensas durante las siguientes 24 horas en Costa Rica</w:t>
            </w:r>
          </w:p>
          <w:p w:rsidR="00000000" w:rsidRDefault="00D76DEA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CNE </w:t>
            </w:r>
            <w:r>
              <w:rPr>
                <w:rFonts w:ascii="Arial" w:hAnsi="Arial" w:cs="Arial"/>
                <w:bCs/>
                <w:szCs w:val="20"/>
              </w:rPr>
              <w:t>recuerda a la ciudadanía a mantenerse vigilante, en especial quienes habiten en zonas de alto riesgo a inundaciones o deslizamientos</w:t>
            </w:r>
          </w:p>
          <w:p w:rsidR="00000000" w:rsidRDefault="00D76DEA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Lluvia se extenderán por toda la semana en el país, ya que un sistema de baja presión podría provocar un aumento de precipi</w:t>
            </w:r>
            <w:r>
              <w:rPr>
                <w:rFonts w:ascii="Arial" w:hAnsi="Arial" w:cs="Arial"/>
                <w:bCs/>
                <w:szCs w:val="20"/>
              </w:rPr>
              <w:t>taciones para el fin de semana</w:t>
            </w:r>
          </w:p>
          <w:p w:rsidR="00000000" w:rsidRDefault="00D76DEA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CNE activa estructura interinstitucional de forma permanente </w:t>
            </w:r>
          </w:p>
          <w:p w:rsidR="00000000" w:rsidRDefault="00D76DEA">
            <w:pPr>
              <w:pStyle w:val="Prrafodelista"/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26"/>
              </w:rPr>
              <w:t xml:space="preserve">San José, 16 de noviembre del 2020.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Las lluvias por el impacto del Huracán Iota se sentirán en Costa Rica a partir de la noche de este lunes, conforme el evento</w:t>
            </w:r>
            <w:r>
              <w:rPr>
                <w:rFonts w:ascii="Arial" w:hAnsi="Arial" w:cs="Arial"/>
                <w:sz w:val="24"/>
              </w:rPr>
              <w:t xml:space="preserve"> se aproxime a Centroamérica, razón por la que la CNE actualizó las alertas para varias regiones del país, </w:t>
            </w:r>
            <w:r>
              <w:rPr>
                <w:rFonts w:ascii="Arial" w:hAnsi="Arial" w:cs="Arial"/>
                <w:sz w:val="24"/>
              </w:rPr>
              <w:lastRenderedPageBreak/>
              <w:t>pidiendo mayor vigilancia a quienes habiten en zonas de riesgo a inundaciones.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ha declarado Alerta Naranja en:</w:t>
            </w:r>
          </w:p>
          <w:p w:rsidR="00000000" w:rsidRDefault="00D76DE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Pacífico Norte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000000" w:rsidRDefault="00D76DE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Pacífico Central</w:t>
            </w:r>
          </w:p>
          <w:p w:rsidR="00000000" w:rsidRDefault="00D76DE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Pacífico Sur</w:t>
            </w:r>
          </w:p>
          <w:p w:rsidR="00000000" w:rsidRDefault="00D76DEA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Zona Norte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Alerta Amarilla permanece el Valle Central y en Alerta Verde la Vertiente del Caribe, según determinó el Centro de Operaciones en Emergencia (COE) de la CNE, quienes sesionaron esta tarde.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Desde la Comisión Nacio</w:t>
            </w:r>
            <w:r>
              <w:rPr>
                <w:rFonts w:ascii="Arial" w:hAnsi="Arial" w:cs="Arial"/>
                <w:sz w:val="24"/>
              </w:rPr>
              <w:t xml:space="preserve">nal de Prevención de Riesgos y Atención de se han abastecido las bodegas regionales (Osa, Parrita, Cañas, Talamanca) para tener los insumos prioritarios en caso de tener que responder de manera oportuna a emergencias que se generen.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Incluso ya se tiene pre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visto la apertura de albergues, si fuera necesario.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Alexander Solís, presidente de la CNE, reiteró el trabajo articulado de las instituciones que componen el Sistema Nacional de Gestión de Riesgo y pidió que se continúen las acciones de prevención y conten</w:t>
            </w:r>
            <w:r>
              <w:rPr>
                <w:rFonts w:ascii="Arial" w:hAnsi="Arial" w:cs="Arial"/>
                <w:sz w:val="24"/>
              </w:rPr>
              <w:t xml:space="preserve">ción de cualquier emergencia que se pueda presentar a raíz de los efectos indirectos de Iota. 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La dirección del viento y la intensidad, aunado a la velocidad de desplazamiento está favoreciendo que no tengamos tantos efectos indirectos, cómo sí los dejó Et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a semanas atrás, según el reporte del Instituto Meteorológico Nacional (IMN).  Sin embargo, la CNE estará vigilante y en constante monitoreo, y pide a la población no bajar la guardia y actuar con responsabilidad y cautela. </w:t>
            </w:r>
            <w:r>
              <w:rPr>
                <w:rFonts w:ascii="Arial" w:hAnsi="Arial" w:cs="Arial"/>
                <w:sz w:val="24"/>
              </w:rPr>
              <w:t>“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Algunas zonas del país se mant</w:t>
            </w:r>
            <w:r>
              <w:rPr>
                <w:rFonts w:ascii="Arial" w:hAnsi="Arial" w:cs="Arial"/>
                <w:sz w:val="24"/>
              </w:rPr>
              <w:t>ienen muy vulnerables por la saturación de los suelos por las lluvias anteriores, lo que nos hace extremar las labores de vigilancia, monitoreo y coordinación constante con el IMN y los Comités Municipales y Comunales de Emergencia “, expresó Solís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Hasta e</w:t>
            </w:r>
            <w:r>
              <w:rPr>
                <w:rFonts w:ascii="Arial" w:hAnsi="Arial" w:cs="Arial"/>
                <w:sz w:val="24"/>
              </w:rPr>
              <w:t>ste momento, aún se atienden 88 personas en siete alojamientos temporales ubicados en varios puntos del país, estas familias no pueden regresar a sus viviendas por temas de seguridad y los CME están atendiendo sus necesidades básicas.</w:t>
            </w:r>
          </w:p>
          <w:p w:rsidR="00000000" w:rsidRDefault="00D76DEA">
            <w:pPr>
              <w:jc w:val="both"/>
              <w:rPr>
                <w:rFonts w:ascii="Arial" w:hAnsi="Arial" w:cs="Arial"/>
                <w:b/>
                <w:i/>
                <w:sz w:val="20"/>
                <w:szCs w:val="24"/>
              </w:rPr>
            </w:pP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000000" w:rsidRDefault="00D76DEA">
            <w:pPr>
              <w:tabs>
                <w:tab w:val="left" w:pos="32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Albergues habilitad</w:t>
            </w:r>
            <w:r>
              <w:rPr>
                <w:rFonts w:ascii="Arial" w:hAnsi="Arial" w:cs="Arial"/>
                <w:b/>
                <w:sz w:val="20"/>
              </w:rPr>
              <w:t>os</w:t>
            </w:r>
          </w:p>
          <w:tbl>
            <w:tblPr>
              <w:tblStyle w:val="Tablaconcuadrcul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2029"/>
              <w:gridCol w:w="3308"/>
              <w:gridCol w:w="1770"/>
            </w:tblGrid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Santa Cruz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Liceo de Santa Cruz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 persona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Salón Comunal Bolsón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 personas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Iglesia de Bolsón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 personas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Escuela de Ortega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 personas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Iglesia Tempate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 personas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Centro Adulto Mayor en Ortega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 personas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Alajuelita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Salón Parroquial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D76DEA">
                  <w:pPr>
                    <w:tabs>
                      <w:tab w:val="left" w:pos="321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</w:t>
                  </w:r>
                  <w:r>
                    <w:rPr>
                      <w:rFonts w:ascii="Arial" w:hAnsi="Arial" w:cs="Arial"/>
                    </w:rPr>
                    <w:t>personas</w:t>
                  </w:r>
                </w:p>
              </w:tc>
            </w:tr>
          </w:tbl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Más lluvias hacia el fin de semana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Un nuevo evento se desplaza hacia la costa del Caribe de Costa Rica, lo que podría traer más precipitaciones al país a partir del viernes y que tiene un 40% de probabilidades de convertirse en Depresión Tropica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 hacia finales de esta semana, según los pronósticos del IMN.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“Las condiciones del tiempo hacia el fin de semana muestran las probabilidades de permanencia de lluvia en varias zonas del país. Estamos coordinando con las instituciones de primera respuesta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y los comités municipales de emergencia para que tomen todas las medidas preventivas, a fin de salvaguardar la vida, incluso los monitoreos preventivos cada tres horas”, comentó Solís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Las recomendaciones de seguridad se mantienen durante toda la semana par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 quienes viven cerca de ríos y quebradas propensas a desbordamientos, para quienes habiten cerca de laderas o montañas venerables a deslizamiento, y a conductores que deban transitar por las zonas que presenten este comportamiento lluvioso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.</w:t>
            </w:r>
          </w:p>
          <w:p w:rsidR="00000000" w:rsidRDefault="00D76DEA">
            <w:pPr>
              <w:tabs>
                <w:tab w:val="left" w:pos="3210"/>
              </w:tabs>
              <w:jc w:val="both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Además, se rei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tera que cualquier situación deberá ser reportada mediante el Sistema de Emergencias 9-1-1 desde donde se canalizará con la institución respectiva y los Comités Municipales de Emergencia.  Permanezca informados en las páginas oficiales de la CNE, IMN y otr</w:t>
            </w: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>as instituciones técnicas u operativas.</w:t>
            </w:r>
          </w:p>
          <w:p w:rsidR="00000000" w:rsidRDefault="00D76DEA">
            <w:pPr>
              <w:jc w:val="both"/>
            </w:pPr>
          </w:p>
          <w:p w:rsidR="00000000" w:rsidRDefault="00D76DEA">
            <w:pPr>
              <w:jc w:val="both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6DE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bookmarkEnd w:id="0"/>
    </w:tbl>
    <w:p w:rsidR="00000000" w:rsidRDefault="00D76DEA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41"/>
    <w:multiLevelType w:val="hybridMultilevel"/>
    <w:tmpl w:val="244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862"/>
    <w:multiLevelType w:val="hybridMultilevel"/>
    <w:tmpl w:val="85429AA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841848208">
    <w:abstractNumId w:val="0"/>
  </w:num>
  <w:num w:numId="2" w16cid:durableId="18088134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6425569">
    <w:abstractNumId w:val="1"/>
  </w:num>
  <w:num w:numId="4" w16cid:durableId="4504437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A"/>
    <w:rsid w:val="00D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2022-05-13T19:37:00Z</dcterms:created>
  <dcterms:modified xsi:type="dcterms:W3CDTF">2022-05-13T19:37:00Z</dcterms:modified>
</cp:coreProperties>
</file>