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aconcuadrcula"/>
        <w:tblW w:w="0" w:type="auto"/>
        <w:tblInd w:w="0" w:type="dxa"/>
        <w:tblLook w:val="04A0" w:firstRow="1" w:lastRow="0" w:firstColumn="1" w:lastColumn="0" w:noHBand="0" w:noVBand="1"/>
      </w:tblPr>
      <w:tblGrid>
        <w:gridCol w:w="221"/>
        <w:gridCol w:w="2095"/>
        <w:gridCol w:w="2096"/>
        <w:gridCol w:w="2096"/>
        <w:gridCol w:w="2098"/>
        <w:gridCol w:w="222"/>
      </w:tblGrid>
      <w:tr w:rsidR="00000000">
        <w:tc>
          <w:tcPr>
            <w:tcW w:w="1471" w:type="dxa"/>
            <w:tcBorders>
              <w:top w:val="single" w:sz="4" w:space="0" w:color="auto"/>
              <w:left w:val="single" w:sz="4" w:space="0" w:color="auto"/>
              <w:bottom w:val="single" w:sz="4" w:space="0" w:color="auto"/>
              <w:right w:val="single" w:sz="4" w:space="0" w:color="auto"/>
            </w:tcBorders>
          </w:tcPr>
          <w:p w:rsidR="00000000" w:rsidRDefault="00672210"/>
        </w:tc>
        <w:tc>
          <w:tcPr>
            <w:tcW w:w="1471" w:type="dxa"/>
            <w:tcBorders>
              <w:top w:val="single" w:sz="4" w:space="0" w:color="auto"/>
              <w:left w:val="single" w:sz="4" w:space="0" w:color="auto"/>
              <w:bottom w:val="single" w:sz="4" w:space="0" w:color="auto"/>
              <w:right w:val="single" w:sz="4" w:space="0" w:color="auto"/>
            </w:tcBorders>
          </w:tcPr>
          <w:p w:rsidR="00000000" w:rsidRDefault="00672210"/>
        </w:tc>
        <w:tc>
          <w:tcPr>
            <w:tcW w:w="1471" w:type="dxa"/>
            <w:tcBorders>
              <w:top w:val="single" w:sz="4" w:space="0" w:color="auto"/>
              <w:left w:val="single" w:sz="4" w:space="0" w:color="auto"/>
              <w:bottom w:val="single" w:sz="4" w:space="0" w:color="auto"/>
              <w:right w:val="single" w:sz="4" w:space="0" w:color="auto"/>
            </w:tcBorders>
          </w:tcPr>
          <w:p w:rsidR="00000000" w:rsidRDefault="00672210">
            <w:pPr>
              <w:rPr>
                <w:rFonts w:cstheme="minorBidi"/>
              </w:rPr>
            </w:pPr>
          </w:p>
        </w:tc>
        <w:tc>
          <w:tcPr>
            <w:tcW w:w="1471" w:type="dxa"/>
            <w:tcBorders>
              <w:top w:val="single" w:sz="4" w:space="0" w:color="auto"/>
              <w:left w:val="single" w:sz="4" w:space="0" w:color="auto"/>
              <w:bottom w:val="single" w:sz="4" w:space="0" w:color="auto"/>
              <w:right w:val="single" w:sz="4" w:space="0" w:color="auto"/>
            </w:tcBorders>
          </w:tcPr>
          <w:p w:rsidR="00000000" w:rsidRDefault="00672210">
            <w:pPr>
              <w:rPr>
                <w:rFonts w:cstheme="minorBidi"/>
              </w:rPr>
            </w:pPr>
          </w:p>
        </w:tc>
        <w:tc>
          <w:tcPr>
            <w:tcW w:w="1472" w:type="dxa"/>
            <w:tcBorders>
              <w:top w:val="single" w:sz="4" w:space="0" w:color="auto"/>
              <w:left w:val="single" w:sz="4" w:space="0" w:color="auto"/>
              <w:bottom w:val="single" w:sz="4" w:space="0" w:color="auto"/>
              <w:right w:val="single" w:sz="4" w:space="0" w:color="auto"/>
            </w:tcBorders>
          </w:tcPr>
          <w:p w:rsidR="00000000" w:rsidRDefault="00672210">
            <w:pPr>
              <w:rPr>
                <w:rFonts w:cstheme="minorBidi"/>
              </w:rPr>
            </w:pPr>
          </w:p>
        </w:tc>
        <w:tc>
          <w:tcPr>
            <w:tcW w:w="1472" w:type="dxa"/>
            <w:tcBorders>
              <w:top w:val="single" w:sz="4" w:space="0" w:color="auto"/>
              <w:left w:val="single" w:sz="4" w:space="0" w:color="auto"/>
              <w:bottom w:val="single" w:sz="4" w:space="0" w:color="auto"/>
              <w:right w:val="single" w:sz="4" w:space="0" w:color="auto"/>
            </w:tcBorders>
          </w:tcPr>
          <w:p w:rsidR="00000000" w:rsidRDefault="00672210">
            <w:pPr>
              <w:rPr>
                <w:rFonts w:cstheme="minorBidi"/>
              </w:rPr>
            </w:pPr>
          </w:p>
        </w:tc>
      </w:tr>
      <w:tr w:rsidR="00000000">
        <w:tc>
          <w:tcPr>
            <w:tcW w:w="1471" w:type="dxa"/>
            <w:tcBorders>
              <w:top w:val="single" w:sz="4" w:space="0" w:color="auto"/>
              <w:left w:val="single" w:sz="4" w:space="0" w:color="auto"/>
              <w:bottom w:val="single" w:sz="4" w:space="0" w:color="auto"/>
              <w:right w:val="single" w:sz="4" w:space="0" w:color="auto"/>
            </w:tcBorders>
          </w:tcPr>
          <w:p w:rsidR="00000000" w:rsidRDefault="00672210">
            <w:pPr>
              <w:rPr>
                <w:rFonts w:cstheme="minorBidi"/>
              </w:rPr>
            </w:pPr>
          </w:p>
        </w:tc>
        <w:tc>
          <w:tcPr>
            <w:tcW w:w="5885" w:type="dxa"/>
            <w:gridSpan w:val="4"/>
            <w:tcBorders>
              <w:top w:val="single" w:sz="4" w:space="0" w:color="auto"/>
              <w:left w:val="single" w:sz="4" w:space="0" w:color="auto"/>
              <w:bottom w:val="single" w:sz="4" w:space="0" w:color="auto"/>
              <w:right w:val="single" w:sz="4" w:space="0" w:color="auto"/>
            </w:tcBorders>
            <w:hideMark/>
          </w:tcPr>
          <w:p w:rsidR="00000000" w:rsidRDefault="00672210">
            <w:pPr>
              <w:spacing w:after="0" w:line="240" w:lineRule="auto"/>
              <w:ind w:left="360"/>
              <w:jc w:val="center"/>
              <w:rPr>
                <w:rFonts w:ascii="Times New Roman" w:hAnsi="Times New Roman" w:cs="Times New Roman"/>
                <w:b/>
                <w:sz w:val="36"/>
                <w:szCs w:val="28"/>
              </w:rPr>
            </w:pPr>
            <w:r>
              <w:rPr>
                <w:rFonts w:ascii="Times New Roman" w:hAnsi="Times New Roman" w:cs="Times New Roman"/>
                <w:b/>
                <w:sz w:val="36"/>
                <w:szCs w:val="28"/>
              </w:rPr>
              <w:t>CNE habilita centro para casos positivos de COVID-19 en Desamparados de Alajuela con capacidad 60 personas</w:t>
            </w:r>
          </w:p>
          <w:p w:rsidR="00000000" w:rsidRDefault="00672210">
            <w:pPr>
              <w:jc w:val="center"/>
              <w:rPr>
                <w:rFonts w:ascii="Times New Roman" w:hAnsi="Times New Roman" w:cs="Times New Roman"/>
                <w:b/>
                <w:i/>
                <w:szCs w:val="28"/>
              </w:rPr>
            </w:pPr>
            <w:r>
              <w:rPr>
                <w:noProof/>
              </w:rPr>
              <w:drawing>
                <wp:inline distT="0" distB="0" distL="0" distR="0">
                  <wp:extent cx="5613400" cy="2751455"/>
                  <wp:effectExtent l="0" t="0" r="635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613400" cy="2751455"/>
                          </a:xfrm>
                          <a:prstGeom prst="rect">
                            <a:avLst/>
                          </a:prstGeom>
                          <a:noFill/>
                          <a:ln>
                            <a:noFill/>
                          </a:ln>
                        </pic:spPr>
                      </pic:pic>
                    </a:graphicData>
                  </a:graphic>
                </wp:inline>
              </w:drawing>
            </w:r>
          </w:p>
          <w:p w:rsidR="00000000" w:rsidRDefault="00672210">
            <w:pPr>
              <w:pStyle w:val="Prrafodelista"/>
              <w:numPr>
                <w:ilvl w:val="0"/>
                <w:numId w:val="2"/>
              </w:numPr>
              <w:jc w:val="both"/>
              <w:rPr>
                <w:rFonts w:ascii="Arial" w:hAnsi="Arial" w:cs="Arial"/>
                <w:bCs/>
                <w:iCs/>
                <w:sz w:val="24"/>
                <w:szCs w:val="24"/>
              </w:rPr>
            </w:pPr>
            <w:r>
              <w:rPr>
                <w:rFonts w:ascii="Arial" w:hAnsi="Arial" w:cs="Arial"/>
                <w:bCs/>
                <w:iCs/>
                <w:sz w:val="24"/>
                <w:szCs w:val="24"/>
              </w:rPr>
              <w:t>Esta tarde ingresan al centro de atención las primeras dos personas positivas.</w:t>
            </w:r>
          </w:p>
          <w:p w:rsidR="00000000" w:rsidRDefault="00672210">
            <w:pPr>
              <w:pStyle w:val="Prrafodelista"/>
              <w:numPr>
                <w:ilvl w:val="0"/>
                <w:numId w:val="2"/>
              </w:numPr>
              <w:jc w:val="both"/>
              <w:rPr>
                <w:rFonts w:ascii="Arial" w:hAnsi="Arial" w:cs="Arial"/>
                <w:bCs/>
                <w:iCs/>
                <w:sz w:val="24"/>
                <w:szCs w:val="24"/>
              </w:rPr>
            </w:pPr>
            <w:r>
              <w:rPr>
                <w:rFonts w:ascii="Arial" w:hAnsi="Arial" w:cs="Arial"/>
                <w:bCs/>
                <w:iCs/>
                <w:sz w:val="24"/>
                <w:szCs w:val="24"/>
              </w:rPr>
              <w:t>La CNE tiene un total de 78 centros de atención de personas COVID-19 en 41 cantones para una capacidad de 5.035 personas.</w:t>
            </w:r>
          </w:p>
          <w:p w:rsidR="00000000" w:rsidRDefault="00672210">
            <w:pPr>
              <w:jc w:val="both"/>
              <w:rPr>
                <w:rFonts w:ascii="Arial" w:hAnsi="Arial" w:cs="Arial"/>
                <w:bCs/>
                <w:iCs/>
                <w:sz w:val="24"/>
                <w:szCs w:val="24"/>
              </w:rPr>
            </w:pPr>
            <w:r>
              <w:rPr>
                <w:rFonts w:ascii="Arial" w:hAnsi="Arial" w:cs="Arial"/>
                <w:b/>
                <w:i/>
                <w:sz w:val="24"/>
                <w:szCs w:val="24"/>
              </w:rPr>
              <w:t>San José, lunes 27 de julio de 2020</w:t>
            </w:r>
            <w:r>
              <w:rPr>
                <w:rFonts w:ascii="Arial" w:hAnsi="Arial" w:cs="Arial"/>
                <w:bCs/>
                <w:i/>
                <w:sz w:val="24"/>
                <w:szCs w:val="24"/>
              </w:rPr>
              <w:t xml:space="preserve">. </w:t>
            </w:r>
            <w:r>
              <w:rPr>
                <w:rFonts w:ascii="Arial" w:hAnsi="Arial" w:cs="Arial"/>
                <w:bCs/>
                <w:iCs/>
                <w:sz w:val="24"/>
                <w:szCs w:val="24"/>
              </w:rPr>
              <w:t>Ante el aumento</w:t>
            </w:r>
            <w:r>
              <w:rPr>
                <w:rFonts w:ascii="Arial" w:hAnsi="Arial" w:cs="Arial"/>
                <w:b/>
                <w:iCs/>
                <w:sz w:val="24"/>
                <w:szCs w:val="24"/>
              </w:rPr>
              <w:t xml:space="preserve"> </w:t>
            </w:r>
            <w:r>
              <w:rPr>
                <w:rFonts w:ascii="Arial" w:hAnsi="Arial" w:cs="Arial"/>
                <w:bCs/>
                <w:iCs/>
                <w:sz w:val="24"/>
                <w:szCs w:val="24"/>
              </w:rPr>
              <w:t>de casos positivos por COVID-19 en el país, la Comisión Nacional de Prevención de</w:t>
            </w:r>
            <w:r>
              <w:rPr>
                <w:rFonts w:ascii="Arial" w:hAnsi="Arial" w:cs="Arial"/>
                <w:bCs/>
                <w:iCs/>
                <w:sz w:val="24"/>
                <w:szCs w:val="24"/>
              </w:rPr>
              <w:t xml:space="preserve"> Riesgos y Atención de Emergencias habilitó, el fin de semana, un nuevo centro de atención de personas positivas con COVID-19 en el gimnasio Colypro en Desamparados de Alajuela con una capacidad de 60 personas.</w:t>
            </w:r>
          </w:p>
          <w:p w:rsidR="00000000" w:rsidRDefault="00672210">
            <w:pPr>
              <w:jc w:val="both"/>
              <w:rPr>
                <w:rFonts w:ascii="Arial" w:hAnsi="Arial" w:cs="Arial"/>
                <w:bCs/>
                <w:iCs/>
                <w:sz w:val="24"/>
                <w:szCs w:val="24"/>
              </w:rPr>
            </w:pPr>
            <w:r>
              <w:rPr>
                <w:rFonts w:ascii="Arial" w:hAnsi="Arial" w:cs="Arial"/>
                <w:bCs/>
                <w:iCs/>
                <w:sz w:val="24"/>
                <w:szCs w:val="24"/>
              </w:rPr>
              <w:t xml:space="preserve">Esta tarde, ingresan las dos primeras personas positivas que no cuentan con condiciones sanitarias y de seguridad en sus viviendas para cumplir con la cuarentena y requieren un alojamiento para evitar el contagio de su familia y su entorno comunal. </w:t>
            </w:r>
          </w:p>
          <w:p w:rsidR="00000000" w:rsidRDefault="00672210">
            <w:pPr>
              <w:jc w:val="both"/>
              <w:rPr>
                <w:rFonts w:ascii="Arial" w:hAnsi="Arial" w:cs="Arial"/>
                <w:sz w:val="24"/>
                <w:szCs w:val="24"/>
              </w:rPr>
            </w:pPr>
            <w:r>
              <w:rPr>
                <w:rFonts w:ascii="Arial" w:hAnsi="Arial" w:cs="Arial"/>
                <w:sz w:val="24"/>
                <w:lang w:val="es-ES"/>
              </w:rPr>
              <w:t>Alexan</w:t>
            </w:r>
            <w:r>
              <w:rPr>
                <w:rFonts w:ascii="Arial" w:hAnsi="Arial" w:cs="Arial"/>
                <w:sz w:val="24"/>
                <w:lang w:val="es-ES"/>
              </w:rPr>
              <w:t>der Solís, presidente de la CNE, señaló que</w:t>
            </w:r>
            <w:r>
              <w:rPr>
                <w:rFonts w:ascii="Arial" w:hAnsi="Arial" w:cs="Arial"/>
                <w:sz w:val="24"/>
                <w:szCs w:val="24"/>
              </w:rPr>
              <w:t xml:space="preserve"> la instalación y adecuación del gimnasio, se </w:t>
            </w:r>
            <w:r>
              <w:rPr>
                <w:rFonts w:ascii="Arial" w:hAnsi="Arial" w:cs="Arial"/>
                <w:sz w:val="24"/>
                <w:lang w:val="es-ES"/>
              </w:rPr>
              <w:t xml:space="preserve">garantiza el rápido aislamiento, el control de una posible propagación del virus en la comunidad y brindar una adecuada atención a los pacientes. </w:t>
            </w:r>
          </w:p>
          <w:p w:rsidR="00000000" w:rsidRDefault="00672210">
            <w:pPr>
              <w:jc w:val="both"/>
              <w:rPr>
                <w:rFonts w:ascii="Arial" w:hAnsi="Arial" w:cs="Arial"/>
                <w:sz w:val="24"/>
                <w:lang w:val="es-ES"/>
              </w:rPr>
            </w:pPr>
            <w:r>
              <w:rPr>
                <w:rFonts w:ascii="Arial" w:hAnsi="Arial" w:cs="Arial"/>
                <w:sz w:val="24"/>
                <w:lang w:val="es-ES"/>
              </w:rPr>
              <w:t>Solís enfatizó que e</w:t>
            </w:r>
            <w:r>
              <w:rPr>
                <w:rFonts w:ascii="Arial" w:hAnsi="Arial" w:cs="Arial"/>
                <w:sz w:val="24"/>
                <w:lang w:val="es-ES"/>
              </w:rPr>
              <w:t xml:space="preserve">stos centros, en general, les provee a los habitantes de las distintas comunidades un sitio seguro para que aquellos vecinos que deban cumplir el aislamiento lo hagan con condiciones sanitarias básicas y </w:t>
            </w:r>
            <w:r>
              <w:rPr>
                <w:rFonts w:ascii="Arial" w:hAnsi="Arial" w:cs="Arial"/>
                <w:sz w:val="24"/>
                <w:lang w:val="es-ES"/>
              </w:rPr>
              <w:lastRenderedPageBreak/>
              <w:t>evitando el contacto con adultos mayores, personas c</w:t>
            </w:r>
            <w:r>
              <w:rPr>
                <w:rFonts w:ascii="Arial" w:hAnsi="Arial" w:cs="Arial"/>
                <w:sz w:val="24"/>
                <w:lang w:val="es-ES"/>
              </w:rPr>
              <w:t xml:space="preserve">on factores de riesgo en su familia, o con su entorno comunal en general. </w:t>
            </w:r>
          </w:p>
          <w:p w:rsidR="00000000" w:rsidRDefault="00672210">
            <w:pPr>
              <w:jc w:val="both"/>
              <w:rPr>
                <w:rFonts w:ascii="Arial" w:hAnsi="Arial" w:cs="Arial"/>
                <w:sz w:val="24"/>
                <w:lang w:val="es-ES"/>
              </w:rPr>
            </w:pPr>
            <w:r>
              <w:rPr>
                <w:rFonts w:ascii="Arial" w:hAnsi="Arial" w:cs="Arial"/>
                <w:sz w:val="24"/>
                <w:lang w:val="es-ES"/>
              </w:rPr>
              <w:t xml:space="preserve">Los Centros cumplen con altos estándares para garantizar desinfección profunda, la seguridad en el inmueble y la atención integrar de las personas COVID-19 y del entorno comunal.   </w:t>
            </w:r>
            <w:r>
              <w:rPr>
                <w:rFonts w:ascii="Arial" w:hAnsi="Arial" w:cs="Arial"/>
                <w:sz w:val="24"/>
                <w:lang w:val="es-ES"/>
              </w:rPr>
              <w:t xml:space="preserve"> </w:t>
            </w:r>
          </w:p>
          <w:p w:rsidR="00000000" w:rsidRDefault="00672210">
            <w:pPr>
              <w:jc w:val="both"/>
              <w:rPr>
                <w:rFonts w:ascii="Arial" w:hAnsi="Arial" w:cs="Arial"/>
                <w:sz w:val="24"/>
                <w:lang w:val="es-ES"/>
              </w:rPr>
            </w:pPr>
            <w:r>
              <w:rPr>
                <w:rFonts w:ascii="Arial" w:hAnsi="Arial" w:cs="Arial"/>
                <w:sz w:val="24"/>
                <w:lang w:val="es-ES"/>
              </w:rPr>
              <w:t>Para ello, el Ministerio de Salud y la Caja Costarricense de Seguro Social realizarán visitas a los pacientes con el fin de valorar la evolución de la enfermedad.  Una vez que los resultados de las pruebas sean negativas, el Ministerio de Salud levanta l</w:t>
            </w:r>
            <w:r>
              <w:rPr>
                <w:rFonts w:ascii="Arial" w:hAnsi="Arial" w:cs="Arial"/>
                <w:sz w:val="24"/>
                <w:lang w:val="es-ES"/>
              </w:rPr>
              <w:t>a orden sanitaria y la persona puede retornar a sus viviendas.</w:t>
            </w:r>
          </w:p>
          <w:p w:rsidR="00000000" w:rsidRDefault="00672210">
            <w:pPr>
              <w:jc w:val="both"/>
              <w:rPr>
                <w:rFonts w:ascii="Arial" w:hAnsi="Arial" w:cs="Arial"/>
                <w:sz w:val="24"/>
                <w:lang w:val="es-ES"/>
              </w:rPr>
            </w:pPr>
            <w:r>
              <w:rPr>
                <w:rFonts w:ascii="Arial" w:hAnsi="Arial" w:cs="Arial"/>
                <w:sz w:val="24"/>
                <w:lang w:val="es-ES"/>
              </w:rPr>
              <w:t>La CNE tiene un convenio con la Cruz Roja Costarricense para el traslado seguro de una persona con orden sanitaria. Estas unidades cuentan con todos los equipos de protección personal, para evi</w:t>
            </w:r>
            <w:r>
              <w:rPr>
                <w:rFonts w:ascii="Arial" w:hAnsi="Arial" w:cs="Arial"/>
                <w:sz w:val="24"/>
                <w:lang w:val="es-ES"/>
              </w:rPr>
              <w:t>tar la propagación del virus.</w:t>
            </w:r>
          </w:p>
          <w:p w:rsidR="00000000" w:rsidRDefault="00672210">
            <w:pPr>
              <w:jc w:val="both"/>
              <w:rPr>
                <w:rFonts w:ascii="Arial" w:hAnsi="Arial" w:cs="Arial"/>
                <w:bCs/>
                <w:iCs/>
                <w:sz w:val="24"/>
                <w:szCs w:val="24"/>
              </w:rPr>
            </w:pPr>
            <w:r>
              <w:rPr>
                <w:rFonts w:ascii="Arial" w:hAnsi="Arial" w:cs="Arial"/>
                <w:bCs/>
                <w:iCs/>
                <w:sz w:val="24"/>
                <w:szCs w:val="24"/>
              </w:rPr>
              <w:t>En total, la CNE tiene un total de 78 centros de atención de personas COVID-19 en 41 cantones para una capacidad de 5.035 personas y se trabaja junto al Ministerio de Salud en la búsqueda de nuevos sitios en el resto de los ca</w:t>
            </w:r>
            <w:r>
              <w:rPr>
                <w:rFonts w:ascii="Arial" w:hAnsi="Arial" w:cs="Arial"/>
                <w:bCs/>
                <w:iCs/>
                <w:sz w:val="24"/>
                <w:szCs w:val="24"/>
              </w:rPr>
              <w:t>ntone</w:t>
            </w:r>
          </w:p>
        </w:tc>
        <w:tc>
          <w:tcPr>
            <w:tcW w:w="1472" w:type="dxa"/>
            <w:tcBorders>
              <w:top w:val="single" w:sz="4" w:space="0" w:color="auto"/>
              <w:left w:val="single" w:sz="4" w:space="0" w:color="auto"/>
              <w:bottom w:val="single" w:sz="4" w:space="0" w:color="auto"/>
              <w:right w:val="single" w:sz="4" w:space="0" w:color="auto"/>
            </w:tcBorders>
          </w:tcPr>
          <w:p w:rsidR="00000000" w:rsidRDefault="00672210">
            <w:pPr>
              <w:rPr>
                <w:rFonts w:cstheme="minorBidi"/>
              </w:rPr>
            </w:pPr>
          </w:p>
        </w:tc>
      </w:tr>
      <w:tr w:rsidR="00000000">
        <w:tc>
          <w:tcPr>
            <w:tcW w:w="1471" w:type="dxa"/>
            <w:tcBorders>
              <w:top w:val="single" w:sz="4" w:space="0" w:color="auto"/>
              <w:left w:val="single" w:sz="4" w:space="0" w:color="auto"/>
              <w:bottom w:val="single" w:sz="4" w:space="0" w:color="auto"/>
              <w:right w:val="single" w:sz="4" w:space="0" w:color="auto"/>
            </w:tcBorders>
          </w:tcPr>
          <w:p w:rsidR="00000000" w:rsidRDefault="00672210">
            <w:pPr>
              <w:rPr>
                <w:rFonts w:cstheme="minorBidi"/>
              </w:rPr>
            </w:pPr>
          </w:p>
        </w:tc>
        <w:tc>
          <w:tcPr>
            <w:tcW w:w="1471" w:type="dxa"/>
            <w:tcBorders>
              <w:top w:val="single" w:sz="4" w:space="0" w:color="auto"/>
              <w:left w:val="single" w:sz="4" w:space="0" w:color="auto"/>
              <w:bottom w:val="single" w:sz="4" w:space="0" w:color="auto"/>
              <w:right w:val="single" w:sz="4" w:space="0" w:color="auto"/>
            </w:tcBorders>
          </w:tcPr>
          <w:p w:rsidR="00000000" w:rsidRDefault="00672210">
            <w:pPr>
              <w:rPr>
                <w:rFonts w:cstheme="minorBidi"/>
              </w:rPr>
            </w:pPr>
          </w:p>
        </w:tc>
        <w:tc>
          <w:tcPr>
            <w:tcW w:w="1471" w:type="dxa"/>
            <w:tcBorders>
              <w:top w:val="single" w:sz="4" w:space="0" w:color="auto"/>
              <w:left w:val="single" w:sz="4" w:space="0" w:color="auto"/>
              <w:bottom w:val="single" w:sz="4" w:space="0" w:color="auto"/>
              <w:right w:val="single" w:sz="4" w:space="0" w:color="auto"/>
            </w:tcBorders>
          </w:tcPr>
          <w:p w:rsidR="00000000" w:rsidRDefault="00672210">
            <w:pPr>
              <w:rPr>
                <w:rFonts w:cstheme="minorBidi"/>
              </w:rPr>
            </w:pPr>
          </w:p>
        </w:tc>
        <w:tc>
          <w:tcPr>
            <w:tcW w:w="1471" w:type="dxa"/>
            <w:tcBorders>
              <w:top w:val="single" w:sz="4" w:space="0" w:color="auto"/>
              <w:left w:val="single" w:sz="4" w:space="0" w:color="auto"/>
              <w:bottom w:val="single" w:sz="4" w:space="0" w:color="auto"/>
              <w:right w:val="single" w:sz="4" w:space="0" w:color="auto"/>
            </w:tcBorders>
          </w:tcPr>
          <w:p w:rsidR="00000000" w:rsidRDefault="00672210">
            <w:pPr>
              <w:rPr>
                <w:rFonts w:cstheme="minorBidi"/>
              </w:rPr>
            </w:pPr>
          </w:p>
        </w:tc>
        <w:tc>
          <w:tcPr>
            <w:tcW w:w="1472" w:type="dxa"/>
            <w:tcBorders>
              <w:top w:val="single" w:sz="4" w:space="0" w:color="auto"/>
              <w:left w:val="single" w:sz="4" w:space="0" w:color="auto"/>
              <w:bottom w:val="single" w:sz="4" w:space="0" w:color="auto"/>
              <w:right w:val="single" w:sz="4" w:space="0" w:color="auto"/>
            </w:tcBorders>
          </w:tcPr>
          <w:p w:rsidR="00000000" w:rsidRDefault="00672210">
            <w:pPr>
              <w:rPr>
                <w:rFonts w:cstheme="minorBidi"/>
              </w:rPr>
            </w:pPr>
          </w:p>
        </w:tc>
        <w:tc>
          <w:tcPr>
            <w:tcW w:w="1472" w:type="dxa"/>
            <w:tcBorders>
              <w:top w:val="single" w:sz="4" w:space="0" w:color="auto"/>
              <w:left w:val="single" w:sz="4" w:space="0" w:color="auto"/>
              <w:bottom w:val="single" w:sz="4" w:space="0" w:color="auto"/>
              <w:right w:val="single" w:sz="4" w:space="0" w:color="auto"/>
            </w:tcBorders>
          </w:tcPr>
          <w:p w:rsidR="00000000" w:rsidRDefault="00672210">
            <w:pPr>
              <w:rPr>
                <w:rFonts w:cstheme="minorBidi"/>
              </w:rPr>
            </w:pPr>
          </w:p>
        </w:tc>
      </w:tr>
    </w:tbl>
    <w:p w:rsidR="00000000" w:rsidRDefault="00672210"/>
    <w:sectPr w:rsidR="00000000">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4D4660A"/>
    <w:multiLevelType w:val="hybridMultilevel"/>
    <w:tmpl w:val="B4686F10"/>
    <w:lvl w:ilvl="0" w:tplc="140A0001">
      <w:start w:val="1"/>
      <w:numFmt w:val="bullet"/>
      <w:lvlText w:val=""/>
      <w:lvlJc w:val="left"/>
      <w:pPr>
        <w:ind w:left="720" w:hanging="360"/>
      </w:pPr>
      <w:rPr>
        <w:rFonts w:ascii="Symbol" w:hAnsi="Symbol" w:hint="default"/>
      </w:rPr>
    </w:lvl>
    <w:lvl w:ilvl="1" w:tplc="140A0003">
      <w:start w:val="1"/>
      <w:numFmt w:val="bullet"/>
      <w:lvlText w:val="o"/>
      <w:lvlJc w:val="left"/>
      <w:pPr>
        <w:ind w:left="1440" w:hanging="360"/>
      </w:pPr>
      <w:rPr>
        <w:rFonts w:ascii="Courier New" w:hAnsi="Courier New" w:cs="Courier New" w:hint="default"/>
      </w:rPr>
    </w:lvl>
    <w:lvl w:ilvl="2" w:tplc="140A0005">
      <w:start w:val="1"/>
      <w:numFmt w:val="bullet"/>
      <w:lvlText w:val=""/>
      <w:lvlJc w:val="left"/>
      <w:pPr>
        <w:ind w:left="2160" w:hanging="360"/>
      </w:pPr>
      <w:rPr>
        <w:rFonts w:ascii="Wingdings" w:hAnsi="Wingdings" w:hint="default"/>
      </w:rPr>
    </w:lvl>
    <w:lvl w:ilvl="3" w:tplc="140A0001">
      <w:start w:val="1"/>
      <w:numFmt w:val="bullet"/>
      <w:lvlText w:val=""/>
      <w:lvlJc w:val="left"/>
      <w:pPr>
        <w:ind w:left="2880" w:hanging="360"/>
      </w:pPr>
      <w:rPr>
        <w:rFonts w:ascii="Symbol" w:hAnsi="Symbol" w:hint="default"/>
      </w:rPr>
    </w:lvl>
    <w:lvl w:ilvl="4" w:tplc="140A0003">
      <w:start w:val="1"/>
      <w:numFmt w:val="bullet"/>
      <w:lvlText w:val="o"/>
      <w:lvlJc w:val="left"/>
      <w:pPr>
        <w:ind w:left="3600" w:hanging="360"/>
      </w:pPr>
      <w:rPr>
        <w:rFonts w:ascii="Courier New" w:hAnsi="Courier New" w:cs="Courier New" w:hint="default"/>
      </w:rPr>
    </w:lvl>
    <w:lvl w:ilvl="5" w:tplc="140A0005">
      <w:start w:val="1"/>
      <w:numFmt w:val="bullet"/>
      <w:lvlText w:val=""/>
      <w:lvlJc w:val="left"/>
      <w:pPr>
        <w:ind w:left="4320" w:hanging="360"/>
      </w:pPr>
      <w:rPr>
        <w:rFonts w:ascii="Wingdings" w:hAnsi="Wingdings" w:hint="default"/>
      </w:rPr>
    </w:lvl>
    <w:lvl w:ilvl="6" w:tplc="140A0001">
      <w:start w:val="1"/>
      <w:numFmt w:val="bullet"/>
      <w:lvlText w:val=""/>
      <w:lvlJc w:val="left"/>
      <w:pPr>
        <w:ind w:left="5040" w:hanging="360"/>
      </w:pPr>
      <w:rPr>
        <w:rFonts w:ascii="Symbol" w:hAnsi="Symbol" w:hint="default"/>
      </w:rPr>
    </w:lvl>
    <w:lvl w:ilvl="7" w:tplc="140A0003">
      <w:start w:val="1"/>
      <w:numFmt w:val="bullet"/>
      <w:lvlText w:val="o"/>
      <w:lvlJc w:val="left"/>
      <w:pPr>
        <w:ind w:left="5760" w:hanging="360"/>
      </w:pPr>
      <w:rPr>
        <w:rFonts w:ascii="Courier New" w:hAnsi="Courier New" w:cs="Courier New" w:hint="default"/>
      </w:rPr>
    </w:lvl>
    <w:lvl w:ilvl="8" w:tplc="140A0005">
      <w:start w:val="1"/>
      <w:numFmt w:val="bullet"/>
      <w:lvlText w:val=""/>
      <w:lvlJc w:val="left"/>
      <w:pPr>
        <w:ind w:left="6480" w:hanging="360"/>
      </w:pPr>
      <w:rPr>
        <w:rFonts w:ascii="Wingdings" w:hAnsi="Wingdings" w:hint="default"/>
      </w:rPr>
    </w:lvl>
  </w:abstractNum>
  <w:num w:numId="1" w16cid:durableId="1487283654">
    <w:abstractNumId w:val="0"/>
  </w:num>
  <w:num w:numId="2" w16cid:durableId="1434205138">
    <w:abstractNumId w:val="0"/>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attachedTemplate r:id="rId1"/>
  <w:defaultTabStop w:val="708"/>
  <w:hyphenationZone w:val="4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2210"/>
    <w:rsid w:val="00672210"/>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15:chartTrackingRefBased/>
  <w15:docId w15:val="{AF86931B-E930-4963-BBC4-F681749B76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es-C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2" w:lineRule="auto"/>
    </w:pPr>
    <w:rPr>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msonormal0">
    <w:name w:val="msonormal"/>
    <w:basedOn w:val="Normal"/>
    <w:pPr>
      <w:spacing w:before="100" w:beforeAutospacing="1" w:after="100" w:afterAutospacing="1" w:line="240" w:lineRule="auto"/>
    </w:pPr>
    <w:rPr>
      <w:rFonts w:ascii="Times New Roman" w:eastAsiaTheme="minorEastAsia" w:hAnsi="Times New Roman" w:cs="Times New Roman"/>
      <w:sz w:val="24"/>
      <w:szCs w:val="24"/>
      <w:lang w:eastAsia="es-CR"/>
    </w:rPr>
  </w:style>
  <w:style w:type="paragraph" w:styleId="Prrafodelista">
    <w:name w:val="List Paragraph"/>
    <w:basedOn w:val="Normal"/>
    <w:uiPriority w:val="34"/>
    <w:qFormat/>
    <w:pPr>
      <w:spacing w:line="254" w:lineRule="auto"/>
      <w:ind w:left="720"/>
      <w:contextualSpacing/>
    </w:pPr>
  </w:style>
  <w:style w:type="table" w:styleId="Tablaconcuadrcula">
    <w:name w:val="Table Grid"/>
    <w:basedOn w:val="Tablanormal"/>
    <w:uiPriority w:val="39"/>
    <w:rPr>
      <w:rFonts w:cs="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Norma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380</Words>
  <Characters>2091</Characters>
  <Application>Microsoft Office Word</Application>
  <DocSecurity>0</DocSecurity>
  <Lines>17</Lines>
  <Paragraphs>4</Paragraphs>
  <ScaleCrop>false</ScaleCrop>
  <Company>CNE</Company>
  <LinksUpToDate>false</LinksUpToDate>
  <CharactersWithSpaces>2467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Wilgen Saborio Cordoba</dc:creator>
  <cp:keywords/>
  <dc:description/>
  <cp:lastModifiedBy>David Eduarte Vargas</cp:lastModifiedBy>
  <cp:revision>2</cp:revision>
  <dcterms:created xsi:type="dcterms:W3CDTF">2022-05-13T19:37:00Z</dcterms:created>
  <dcterms:modified xsi:type="dcterms:W3CDTF">2022-05-13T19:37:00Z</dcterms:modified>
</cp:coreProperties>
</file>