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64"/>
        <w:gridCol w:w="3455"/>
        <w:gridCol w:w="3416"/>
        <w:gridCol w:w="532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B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B07">
            <w:pPr>
              <w:pStyle w:val="Sinespaciado"/>
              <w:rPr>
                <w:sz w:val="24"/>
              </w:rPr>
            </w:pPr>
          </w:p>
          <w:p w:rsidR="00000000" w:rsidRDefault="00B04B07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modifica alertas tras salida del efecto indirecto del huracán Iota en el país</w:t>
            </w:r>
          </w:p>
          <w:p w:rsidR="00000000" w:rsidRDefault="00B0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drawing>
                <wp:inline distT="0" distB="0" distL="0" distR="0">
                  <wp:extent cx="6122670" cy="4754880"/>
                  <wp:effectExtent l="0" t="0" r="0" b="7620"/>
                  <wp:docPr id="1" name="Imagen 1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75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04B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>Se prevén lluvias a partir del viernes como producto de un sistema de baja presión en el Mar Caribe.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00000" w:rsidRDefault="00B04B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 xml:space="preserve">Según el informe del IMN, la </w:t>
            </w:r>
            <w:r>
              <w:rPr>
                <w:rFonts w:ascii="Arial" w:hAnsi="Arial" w:cs="Arial"/>
                <w:i/>
                <w:iCs/>
                <w:szCs w:val="24"/>
              </w:rPr>
              <w:t>influencia del evento ha desaparecido y el país vuelve a las condiciones típicas de la época lluviosa.</w:t>
            </w:r>
          </w:p>
          <w:p w:rsidR="00000000" w:rsidRDefault="00B04B07">
            <w:pPr>
              <w:pStyle w:val="Prrafodelista"/>
              <w:spacing w:after="0" w:line="240" w:lineRule="auto"/>
              <w:ind w:left="1428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0000" w:rsidRDefault="00B04B07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32"/>
              </w:rPr>
              <w:t>San José, 18 de noviembre del 2020.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>Ante la mejoría sustancial en las condiciones del tiempo para lo que resta de la semana, la Comisión Nacional de Pre</w:t>
            </w:r>
            <w:r>
              <w:rPr>
                <w:rFonts w:ascii="Arial" w:hAnsi="Arial" w:cs="Arial"/>
                <w:sz w:val="24"/>
                <w:szCs w:val="26"/>
              </w:rPr>
              <w:t xml:space="preserve">vención de Riesgos y Atención de Emergencias (CNE), modifica las alertas que mantenía en el país, tras la salida del efecto indirecto del huracán Iota. </w:t>
            </w:r>
          </w:p>
          <w:p w:rsidR="00000000" w:rsidRDefault="00B04B07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Considerando que aún se presenta una alta saturación en suelos, ríos colmatados, y que se prevén lluvia</w:t>
            </w:r>
            <w:r>
              <w:rPr>
                <w:rFonts w:ascii="Arial" w:hAnsi="Arial" w:cs="Arial"/>
                <w:sz w:val="24"/>
                <w:szCs w:val="26"/>
              </w:rPr>
              <w:t xml:space="preserve">s a partir del viernes como producto de un sistema de baja presión en el Mar Caribe, la CNE establece el estado de </w:t>
            </w:r>
            <w:r>
              <w:rPr>
                <w:rFonts w:ascii="Arial" w:hAnsi="Arial" w:cs="Arial"/>
                <w:b/>
                <w:bCs/>
                <w:sz w:val="24"/>
                <w:szCs w:val="26"/>
              </w:rPr>
              <w:t>Alerta Amarilla</w:t>
            </w:r>
            <w:r>
              <w:rPr>
                <w:rFonts w:ascii="Arial" w:hAnsi="Arial" w:cs="Arial"/>
                <w:sz w:val="24"/>
                <w:szCs w:val="26"/>
              </w:rPr>
              <w:t xml:space="preserve"> la Zona Norte, el Pacífico Norte, el Pacífico Central y el Pacífico Sur. Además, se mantiene la </w:t>
            </w:r>
            <w:r>
              <w:rPr>
                <w:rFonts w:ascii="Arial" w:hAnsi="Arial" w:cs="Arial"/>
                <w:b/>
                <w:bCs/>
                <w:sz w:val="24"/>
                <w:szCs w:val="26"/>
              </w:rPr>
              <w:t>Alerta Amarilla</w:t>
            </w:r>
            <w:r>
              <w:rPr>
                <w:rFonts w:ascii="Arial" w:hAnsi="Arial" w:cs="Arial"/>
                <w:sz w:val="24"/>
                <w:szCs w:val="26"/>
              </w:rPr>
              <w:t xml:space="preserve"> para el Valle</w:t>
            </w:r>
            <w:r>
              <w:rPr>
                <w:rFonts w:ascii="Arial" w:hAnsi="Arial" w:cs="Arial"/>
                <w:sz w:val="24"/>
                <w:szCs w:val="26"/>
              </w:rPr>
              <w:t xml:space="preserve"> Central, así como la </w:t>
            </w:r>
            <w:r>
              <w:rPr>
                <w:rFonts w:ascii="Arial" w:hAnsi="Arial" w:cs="Arial"/>
                <w:b/>
                <w:bCs/>
                <w:sz w:val="24"/>
                <w:szCs w:val="26"/>
              </w:rPr>
              <w:t>Alerta Verde</w:t>
            </w:r>
            <w:r>
              <w:rPr>
                <w:rFonts w:ascii="Arial" w:hAnsi="Arial" w:cs="Arial"/>
                <w:sz w:val="24"/>
                <w:szCs w:val="26"/>
              </w:rPr>
              <w:t xml:space="preserve"> para la Región Caribe. </w:t>
            </w:r>
          </w:p>
          <w:p w:rsidR="00000000" w:rsidRDefault="00B04B07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Según el informe número 17 del Instituto Meteorológico Nacional (IMN), la influencia del evento que se presentó a inicios de esta semana prácticamente ha desaparecido, y volvemos a las condiciones </w:t>
            </w:r>
            <w:r>
              <w:rPr>
                <w:rFonts w:ascii="Arial" w:hAnsi="Arial" w:cs="Arial"/>
                <w:sz w:val="24"/>
                <w:szCs w:val="26"/>
              </w:rPr>
              <w:t>típicas de la época lluviosa.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lastRenderedPageBreak/>
              <w:t>Sin embargo, los restos de este sistema generarán un constante ingreso de humedad desde el Océano Pacífico al país.</w:t>
            </w:r>
          </w:p>
          <w:p w:rsidR="00000000" w:rsidRDefault="00B04B07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Razón por la cual, la CNE mantiene activa su estructura operativa y junto a los Comités Municipales de Emergen</w:t>
            </w:r>
            <w:r>
              <w:rPr>
                <w:rFonts w:ascii="Arial" w:hAnsi="Arial" w:cs="Arial"/>
                <w:sz w:val="24"/>
                <w:szCs w:val="26"/>
              </w:rPr>
              <w:t>cias, permanecen en un monitoreo constante por las fuertes lluvias que provocaron la afectación indirecta tanto del huracán Eta como del huracán Iota en las zonas vulnerables del Pacífico Sur y Guanacaste. Asimismo, se mantiene una vigilancia permanente en</w:t>
            </w:r>
            <w:r>
              <w:rPr>
                <w:rFonts w:ascii="Arial" w:hAnsi="Arial" w:cs="Arial"/>
                <w:sz w:val="24"/>
                <w:szCs w:val="26"/>
              </w:rPr>
              <w:t xml:space="preserve"> los sectores montañosos del país ante la posibilidad de deslizamientos por la saturación de los suelos en las zonas altas. </w:t>
            </w:r>
          </w:p>
          <w:p w:rsidR="00000000" w:rsidRDefault="00B04B07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Al mejorar paulatinamente las condiciones del tiempo, los Comités Municipales de Emergencias (CME) continúan en la evaluación de lo</w:t>
            </w:r>
            <w:r>
              <w:rPr>
                <w:rFonts w:ascii="Arial" w:hAnsi="Arial" w:cs="Arial"/>
                <w:sz w:val="24"/>
                <w:szCs w:val="26"/>
              </w:rPr>
              <w:t>s daños en las comunidades.  Este levantamiento de información es fundamental para determinar las acciones prioritarias de los proyectos de extrema urgencia que favorezcan a reestablecer las necesidades poblacionales.</w:t>
            </w:r>
          </w:p>
          <w:p w:rsidR="00000000" w:rsidRDefault="00B04B07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La CNE reitera la necesidad de mantene</w:t>
            </w:r>
            <w:r>
              <w:rPr>
                <w:rFonts w:ascii="Arial" w:hAnsi="Arial" w:cs="Arial"/>
                <w:sz w:val="24"/>
                <w:szCs w:val="26"/>
              </w:rPr>
              <w:t>rse vigilantes en las zonas de riesgo, sobre todo en aquellos sitios propensos a inundaciones y con problemas de deslizamiento.</w:t>
            </w:r>
          </w:p>
          <w:p w:rsidR="00000000" w:rsidRDefault="00B04B07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También es importante que las personas se mantengan informadas por medios oficiales y que de presentarse una emergencia la repor</w:t>
            </w:r>
            <w:r>
              <w:rPr>
                <w:rFonts w:ascii="Arial" w:hAnsi="Arial" w:cs="Arial"/>
                <w:sz w:val="24"/>
                <w:szCs w:val="26"/>
              </w:rPr>
              <w:t>ten inmediatamente al sistema de emergencia 9-1-1.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B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B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B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B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B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B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4B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B04B07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B04B07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B04B07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B04B07">
      <w:pPr>
        <w:rPr>
          <w:lang w:val="es-ES"/>
        </w:rPr>
      </w:pPr>
    </w:p>
    <w:sectPr w:rsidR="00000000">
      <w:headerReference w:type="default" r:id="rId8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04B07">
      <w:pPr>
        <w:spacing w:after="0" w:line="240" w:lineRule="auto"/>
      </w:pPr>
      <w:r>
        <w:separator/>
      </w:r>
    </w:p>
  </w:endnote>
  <w:endnote w:type="continuationSeparator" w:id="0">
    <w:p w:rsidR="00000000" w:rsidRDefault="00B0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04B07">
      <w:pPr>
        <w:spacing w:after="0" w:line="240" w:lineRule="auto"/>
      </w:pPr>
      <w:r>
        <w:separator/>
      </w:r>
    </w:p>
  </w:footnote>
  <w:footnote w:type="continuationSeparator" w:id="0">
    <w:p w:rsidR="00000000" w:rsidRDefault="00B0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04B07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4E1C"/>
    <w:multiLevelType w:val="hybridMultilevel"/>
    <w:tmpl w:val="899CD070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57763079">
    <w:abstractNumId w:val="0"/>
  </w:num>
  <w:num w:numId="2" w16cid:durableId="8758464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07"/>
    <w:rsid w:val="00B0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Sinespaciado">
    <w:name w:val="No Spacing"/>
    <w:uiPriority w:val="1"/>
    <w:qFormat/>
    <w:rPr>
      <w:sz w:val="22"/>
      <w:szCs w:val="2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2022-05-13T19:39:00Z</dcterms:created>
  <dcterms:modified xsi:type="dcterms:W3CDTF">2022-05-13T19:39:00Z</dcterms:modified>
</cp:coreProperties>
</file>