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0"/>
        <w:gridCol w:w="824"/>
        <w:gridCol w:w="3251"/>
        <w:gridCol w:w="3210"/>
        <w:gridCol w:w="284"/>
        <w:gridCol w:w="269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D3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D38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F5496" w:themeColor="accent1" w:themeShade="BF"/>
                <w:sz w:val="48"/>
                <w:szCs w:val="48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48"/>
                <w:szCs w:val="48"/>
              </w:rPr>
              <w:t xml:space="preserve">CNE y SENARA inician rehabilitación </w:t>
            </w:r>
          </w:p>
          <w:p w:rsidR="00000000" w:rsidRDefault="00DE7D38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2F5496" w:themeColor="accent1" w:themeShade="BF"/>
                <w:sz w:val="48"/>
                <w:szCs w:val="48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48"/>
                <w:szCs w:val="48"/>
              </w:rPr>
              <w:t>en Dique de Nosara</w:t>
            </w:r>
          </w:p>
          <w:p w:rsidR="00000000" w:rsidRDefault="00DE7D38"/>
          <w:p w:rsidR="00000000" w:rsidRDefault="00DE7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DE7D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Obras contemplan construcción de dos muros y un canal de concreto reforzado, así como enrocado de protección, entre otros trabajos.</w:t>
            </w:r>
          </w:p>
          <w:p w:rsidR="00000000" w:rsidRDefault="00DE7D38">
            <w:pPr>
              <w:pStyle w:val="Prrafodelista"/>
              <w:spacing w:after="0" w:line="240" w:lineRule="auto"/>
              <w:ind w:left="1440"/>
              <w:rPr>
                <w:rFonts w:ascii="Arial" w:hAnsi="Arial" w:cs="Arial"/>
                <w:i/>
              </w:rPr>
            </w:pPr>
          </w:p>
          <w:p w:rsidR="00000000" w:rsidRDefault="00DE7D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Está programado que la intervención de los 3 kilómetros concluya en mayo próximo.</w:t>
            </w:r>
          </w:p>
          <w:p w:rsidR="00000000" w:rsidRDefault="00DE7D3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000000" w:rsidRDefault="00DE7D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Con la finalización de este proyecto, se estaría brindando protección a más de 3.000 personas.</w:t>
            </w:r>
          </w:p>
          <w:p w:rsidR="00000000" w:rsidRDefault="00DE7D38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spacing w:line="254" w:lineRule="auto"/>
              <w:jc w:val="both"/>
              <w:rPr>
                <w:rFonts w:ascii="Arial" w:hAnsi="Arial" w:cs="Arial"/>
                <w:i/>
              </w:rPr>
            </w:pPr>
          </w:p>
          <w:p w:rsidR="00000000" w:rsidRDefault="00DE7D3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:rsidR="00000000" w:rsidRDefault="00DE7D3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Nosara, 27 de febrero 2020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s-ES"/>
              </w:rPr>
              <w:t>.</w:t>
            </w:r>
            <w:r>
              <w:rPr>
                <w:rFonts w:ascii="Arial" w:eastAsia="Arial" w:hAnsi="Arial" w:cs="Arial"/>
                <w:sz w:val="20"/>
                <w:szCs w:val="36"/>
                <w:lang w:eastAsia="es-ES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Con </w:t>
            </w: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 xml:space="preserve">una inversión de más de </w:t>
            </w:r>
            <w:r>
              <w:rPr>
                <w:b/>
              </w:rPr>
              <w:t xml:space="preserve"> </w:t>
            </w:r>
            <w:r>
              <w:t>₡</w:t>
            </w: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1.161 millones, l</w:t>
            </w: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a Comisión Nacional de Prevención de Riesgos y Atención de Emergencias (CNE) junto al Servicio Nacional de Aguas Subterráneas Riego y Avenamiento (SENARA) iniciaron este 15 de febrero la rehabilitación del dique de Nosara, así como algunas obras hidráulica</w:t>
            </w: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s en el río.</w:t>
            </w:r>
          </w:p>
          <w:p w:rsidR="00000000" w:rsidRDefault="00DE7D3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000000" w:rsidRDefault="00DE7D3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 xml:space="preserve">La intervención es de aproximadamente tres kilómetros y estaría brindando protección a más de 3.000 personas que habitan en las comunidades de Santa Marta, </w:t>
            </w: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Santa Teresa y Nosara, así como a 500 casas dispersas en las cercanías de este distrito del cantón de Nicoya, Guanacaste.</w:t>
            </w:r>
          </w:p>
          <w:p w:rsidR="00000000" w:rsidRDefault="00DE7D3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000000" w:rsidRDefault="00DE7D38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Los trabajos consisten en e</w:t>
            </w:r>
            <w:r>
              <w:rPr>
                <w:rFonts w:ascii="Arial" w:hAnsi="Arial" w:cs="Arial"/>
                <w:sz w:val="24"/>
                <w:szCs w:val="24"/>
              </w:rPr>
              <w:t xml:space="preserve">xcavar el cauce y trasladar a otro sitio el material separado, </w:t>
            </w: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ubicar en los sectores de Santa Marta y Aer</w:t>
            </w: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opuerto unos muros deflectores</w:t>
            </w:r>
            <w: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 xml:space="preserve">para controlar el flujo del de agua, así como un enrocado de protección contra los daños causados por el escurrimiento del agua. </w:t>
            </w:r>
          </w:p>
          <w:p w:rsidR="00000000" w:rsidRDefault="00DE7D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Además, se construirán dos muros y un canal</w:t>
            </w:r>
            <w: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de concreto reforzado en las márgenes del río en el</w:t>
            </w: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 xml:space="preserve"> sector de Santa Marta, con el objetivo de disminuir el efecto de socavación.</w:t>
            </w:r>
          </w:p>
          <w:p w:rsidR="00000000" w:rsidRDefault="00DE7D3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Asimismo, se realizarán obras hidráulicas, las cuales son salidas de aguas y bloqueos de canales que pueden generar inundaciones en otros sitios. Con esto, se modificarán las sal</w:t>
            </w: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idas de algunas quebradas y canales que vienen a desembocar al río.</w:t>
            </w:r>
          </w:p>
          <w:p w:rsidR="00000000" w:rsidRDefault="00DE7D3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000000" w:rsidRDefault="00DE7D3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“Esta zona es propensa a inundaciones, principalmente por las crecidas extraordinarias del río Nosara”, comentó el presidente de la CNE, Alex Solís. Agregó que “por esta razón, la interve</w:t>
            </w: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 xml:space="preserve">nción tiene como fin minimizar el impacto de estas inundaciones para salvaguardar tanto a las familias como a la producción agropecuaria, el turismo, el comercio y el acceso a las comunidades que son tan importantes en la zona”. </w:t>
            </w:r>
          </w:p>
          <w:p w:rsidR="00000000" w:rsidRDefault="00DE7D3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000000" w:rsidRDefault="00DE7D3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 xml:space="preserve">Por su parte, la Primera </w:t>
            </w: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Dama de la República y coordinadora de la Región Chorotega, Claudia Dobles, afirmó que “esta es una inversión impostergable para procurar la seguridad de cientos de familias y una gran cantidad de comercios durante la época lluviosa, no sólo en Nosara sino</w:t>
            </w: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 xml:space="preserve"> también en comunidades aledañas", puntualizó. </w:t>
            </w:r>
          </w:p>
          <w:p w:rsidR="00000000" w:rsidRDefault="00DE7D3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36"/>
                <w:lang w:eastAsia="es-ES"/>
              </w:rPr>
            </w:pPr>
          </w:p>
          <w:p w:rsidR="00000000" w:rsidRDefault="00DE7D3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000000" w:rsidRDefault="00DE7D3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Se estima la finalización de la obra para mayo del presente año.</w:t>
            </w:r>
          </w:p>
          <w:p w:rsidR="00000000" w:rsidRDefault="00DE7D3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000000" w:rsidRDefault="00DE7D3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 xml:space="preserve">El enlace de esfuerzos entre la CNE y SENARA permiten atender el Plan General de la Emergencia, amparado en el Decreto Ejecutivo 40677, que </w:t>
            </w: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corresponde a la situación provocada por la tormenta tropical Nate en el año 2017.</w:t>
            </w:r>
          </w:p>
          <w:p w:rsidR="00000000" w:rsidRDefault="00DE7D3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000000" w:rsidRDefault="00DE7D3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000000" w:rsidRDefault="00DE7D38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D3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D3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D3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D3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D3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D3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D3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DE7D38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DE7D38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DE7D38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DE7D38">
      <w:pPr>
        <w:rPr>
          <w:lang w:val="es-ES"/>
        </w:rPr>
      </w:pPr>
    </w:p>
    <w:sectPr w:rsidR="00000000">
      <w:headerReference w:type="default" r:id="rId7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E7D38">
      <w:pPr>
        <w:spacing w:after="0" w:line="240" w:lineRule="auto"/>
      </w:pPr>
      <w:r>
        <w:separator/>
      </w:r>
    </w:p>
  </w:endnote>
  <w:endnote w:type="continuationSeparator" w:id="0">
    <w:p w:rsidR="00000000" w:rsidRDefault="00DE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DE7D38">
      <w:pPr>
        <w:spacing w:after="0" w:line="240" w:lineRule="auto"/>
      </w:pPr>
      <w:r>
        <w:separator/>
      </w:r>
    </w:p>
  </w:footnote>
  <w:footnote w:type="continuationSeparator" w:id="0">
    <w:p w:rsidR="00000000" w:rsidRDefault="00DE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DE7D38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B50E1"/>
    <w:multiLevelType w:val="hybridMultilevel"/>
    <w:tmpl w:val="2F3A1D2A"/>
    <w:lvl w:ilvl="0" w:tplc="53C8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26027">
    <w:abstractNumId w:val="0"/>
  </w:num>
  <w:num w:numId="2" w16cid:durableId="10634075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38"/>
    <w:rsid w:val="00D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sz w:val="22"/>
      <w:szCs w:val="22"/>
      <w:lang w:val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2022-05-13T19:43:00Z</dcterms:created>
  <dcterms:modified xsi:type="dcterms:W3CDTF">2022-05-13T19:43:00Z</dcterms:modified>
</cp:coreProperties>
</file>