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pStyle w:val="Ttulo1"/>
              <w:jc w:val="center"/>
              <w:rPr>
                <w:color w:val="auto"/>
                <w:lang w:val="es-ES"/>
              </w:rPr>
            </w:pPr>
            <w:r>
              <w:rPr>
                <w:lang w:val="es-ES"/>
              </w:rPr>
              <w:t>Tres cantones que tenían alerta temprana</w:t>
            </w:r>
          </w:p>
          <w:p w:rsidR="00000000" w:rsidRDefault="00005D8F">
            <w:pPr>
              <w:pStyle w:val="Ttulo1"/>
              <w:jc w:val="center"/>
              <w:outlineLvl w:val="0"/>
              <w:rPr>
                <w:sz w:val="36"/>
                <w:lang w:val="es-ES"/>
              </w:rPr>
            </w:pPr>
            <w:r>
              <w:rPr>
                <w:lang w:val="es-ES"/>
              </w:rPr>
              <w:t>suben a alerta naranja</w:t>
            </w:r>
          </w:p>
          <w:p w:rsidR="00000000" w:rsidRDefault="00005D8F">
            <w:pPr>
              <w:spacing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005D8F">
            <w:pPr>
              <w:pStyle w:val="Prrafodelista"/>
              <w:spacing w:line="240" w:lineRule="auto"/>
              <w:ind w:left="927"/>
              <w:jc w:val="both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005D8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  <w:r>
              <w:rPr>
                <w:b/>
                <w:bCs/>
                <w:iCs/>
                <w:sz w:val="24"/>
                <w:lang w:val="es-ES"/>
              </w:rPr>
              <w:t xml:space="preserve">Acosta, Mora y Oreamuno registraron un aumento en sus casos por lo que pasan de alerta amarilla a alerta naranja. </w:t>
            </w:r>
          </w:p>
          <w:p w:rsidR="00000000" w:rsidRDefault="00005D8F">
            <w:pPr>
              <w:jc w:val="both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005D8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  <w:r>
              <w:rPr>
                <w:b/>
                <w:bCs/>
                <w:iCs/>
                <w:sz w:val="24"/>
                <w:lang w:val="es-ES"/>
              </w:rPr>
              <w:t xml:space="preserve">Actualmente </w:t>
            </w:r>
            <w:r>
              <w:rPr>
                <w:b/>
                <w:bCs/>
                <w:iCs/>
                <w:sz w:val="24"/>
                <w:lang w:val="es-ES"/>
              </w:rPr>
              <w:t xml:space="preserve">23 cantones se encuentran en alerta naranja y 59 en alerta amarilla. </w:t>
            </w:r>
          </w:p>
          <w:p w:rsidR="00000000" w:rsidRDefault="00005D8F">
            <w:pPr>
              <w:pStyle w:val="Prrafodelista"/>
              <w:jc w:val="both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005D8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  <w:r>
              <w:rPr>
                <w:b/>
                <w:bCs/>
                <w:iCs/>
                <w:sz w:val="24"/>
                <w:lang w:val="es-ES"/>
              </w:rPr>
              <w:t>42 distritos nuevos se suman a la lista de lugares con alerta temprana por virus respiratorios y 30 lograron salir de esta condición de advertencia.</w:t>
            </w:r>
          </w:p>
          <w:p w:rsidR="00000000" w:rsidRDefault="00005D8F">
            <w:pPr>
              <w:pStyle w:val="Prrafodelista"/>
              <w:spacing w:line="240" w:lineRule="auto"/>
              <w:ind w:left="1440"/>
              <w:jc w:val="both"/>
              <w:rPr>
                <w:b/>
                <w:sz w:val="16"/>
                <w:szCs w:val="16"/>
                <w:lang w:val="es-ES"/>
              </w:rPr>
            </w:pPr>
          </w:p>
          <w:p w:rsidR="00000000" w:rsidRDefault="00005D8F">
            <w:pPr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Luego de una valoración epidemiológ</w:t>
            </w:r>
            <w:r>
              <w:rPr>
                <w:sz w:val="24"/>
                <w:lang w:val="es-ES"/>
              </w:rPr>
              <w:t xml:space="preserve">ica de la semana 33 y 34 </w:t>
            </w:r>
            <w:r>
              <w:rPr>
                <w:rFonts w:eastAsia="Calibri"/>
                <w:color w:val="000000"/>
                <w:sz w:val="24"/>
                <w:szCs w:val="24"/>
                <w:lang w:eastAsia="es-CR"/>
              </w:rPr>
              <w:t>en el marco de la Sala de Situación Nacional</w:t>
            </w:r>
            <w:r>
              <w:rPr>
                <w:sz w:val="24"/>
                <w:lang w:val="es-ES"/>
              </w:rPr>
              <w:t>, la Comisión Nacional de Prevención de Riesgos y Atención de Emergencias (CNE) hizo un reajuste en la condición de alerta de los cantones de Acosta y Mora en San José y el cantón de Orea</w:t>
            </w:r>
            <w:r>
              <w:rPr>
                <w:sz w:val="24"/>
                <w:lang w:val="es-ES"/>
              </w:rPr>
              <w:t xml:space="preserve">muno en Cartago pasándolos a alerta naranja.  </w:t>
            </w:r>
          </w:p>
          <w:p w:rsidR="00000000" w:rsidRDefault="00005D8F">
            <w:pPr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La semana anterior Acosta y Mora tenían alerta temprana por aumento de casos en </w:t>
            </w:r>
            <w:r>
              <w:rPr>
                <w:sz w:val="24"/>
                <w:lang w:val="es-ES"/>
              </w:rPr>
              <w:t>sus cantones y Oreamuno estaba en alerta por síntomas respiratorios, según informó en conferencia de prensa el jefe de operaciones de la Comisión Nacional de Emergencias (CNE), Sigifredo Pérez.</w:t>
            </w:r>
          </w:p>
          <w:p w:rsidR="00000000" w:rsidRDefault="00005D8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lang w:val="es-ES"/>
              </w:rPr>
              <w:t xml:space="preserve">Para hoy no se registra el descenso de ningún cantón a alerta </w:t>
            </w:r>
            <w:r>
              <w:rPr>
                <w:sz w:val="24"/>
                <w:lang w:val="es-ES"/>
              </w:rPr>
              <w:t>amarilla por lo que a</w:t>
            </w:r>
            <w:r>
              <w:rPr>
                <w:color w:val="000000" w:themeColor="text1"/>
                <w:sz w:val="24"/>
                <w:szCs w:val="24"/>
              </w:rPr>
              <w:t xml:space="preserve">ctualmente sólo 23 cantones se encuentran en alerta naranja y 59 en alerta amarilla en todo el país. </w:t>
            </w:r>
          </w:p>
          <w:p w:rsidR="00000000" w:rsidRDefault="00005D8F">
            <w:pPr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Tras los cambios indicados, los cantones que se encuentran en condición de </w:t>
            </w:r>
            <w:r>
              <w:rPr>
                <w:b/>
                <w:sz w:val="24"/>
                <w:lang w:val="es-ES"/>
              </w:rPr>
              <w:t>alerta naranja</w:t>
            </w:r>
            <w:r>
              <w:rPr>
                <w:sz w:val="24"/>
                <w:lang w:val="es-ES"/>
              </w:rPr>
              <w:t xml:space="preserve"> son:</w:t>
            </w:r>
          </w:p>
          <w:tbl>
            <w:tblPr>
              <w:tblW w:w="0" w:type="auto"/>
              <w:tblBorders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tblBorders>
              <w:tblLook w:val="04A0" w:firstRow="1" w:lastRow="0" w:firstColumn="1" w:lastColumn="0" w:noHBand="0" w:noVBand="1"/>
              <w:tblCaption w:val="HERMESIGNORETABLETOGRID"/>
            </w:tblPr>
            <w:tblGrid>
              <w:gridCol w:w="7343"/>
            </w:tblGrid>
            <w:tr w:rsidR="00000000">
              <w:tc>
                <w:tcPr>
                  <w:tcW w:w="7353" w:type="dxa"/>
                  <w:tcBorders>
                    <w:top w:val="dashed" w:sz="4" w:space="0" w:color="FF0000"/>
                    <w:left w:val="dashed" w:sz="4" w:space="0" w:color="FF0000"/>
                    <w:bottom w:val="nil"/>
                    <w:right w:val="dashed" w:sz="4" w:space="0" w:color="FF0000"/>
                  </w:tcBorders>
                  <w:shd w:val="clear" w:color="auto" w:fill="CCCCCC"/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p w:rsidR="00000000" w:rsidRDefault="00005D8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Cuadro de datos </w:t>
                  </w:r>
                </w:p>
              </w:tc>
            </w:tr>
            <w:tr w:rsidR="00000000">
              <w:tc>
                <w:tcPr>
                  <w:tcW w:w="7353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  <w:tcMar>
                    <w:top w:w="75" w:type="dxa"/>
                    <w:left w:w="108" w:type="dxa"/>
                    <w:bottom w:w="75" w:type="dxa"/>
                    <w:right w:w="108" w:type="dxa"/>
                  </w:tcMar>
                  <w:hideMark/>
                </w:tcPr>
                <w:tbl>
                  <w:tblPr>
                    <w:tblpPr w:leftFromText="141" w:rightFromText="141" w:vertAnchor="text" w:horzAnchor="margin" w:tblpY="8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61"/>
                    <w:gridCol w:w="5248"/>
                  </w:tblGrid>
                  <w:tr w:rsidR="00000000"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38135" w:themeFill="accent6" w:themeFillShade="BF"/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PROVINCIA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38135" w:themeFill="accent6" w:themeFillShade="BF"/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CANTONES</w:t>
                        </w:r>
                      </w:p>
                    </w:tc>
                  </w:tr>
                  <w:tr w:rsidR="00000000"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38135" w:themeFill="accent6" w:themeFillShade="BF"/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San José 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GAM: </w:t>
                        </w:r>
                        <w:r>
                          <w:rPr>
                            <w:sz w:val="24"/>
                          </w:rPr>
                          <w:t xml:space="preserve">San José, Escazú, Desamparados (salvo distritos de San Cristóbal y Frailes), Aserrí, Goicoechea, Santa Ana, Alajuelita, Tibás, Curridabat, Puriscal, Acosta y Mora. </w:t>
                        </w:r>
                      </w:p>
                    </w:tc>
                  </w:tr>
                  <w:tr w:rsidR="00000000"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38135" w:themeFill="accent6" w:themeFillShade="BF"/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Alajuela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GAM:</w:t>
                        </w:r>
                        <w:r>
                          <w:rPr>
                            <w:sz w:val="24"/>
                          </w:rPr>
                          <w:t xml:space="preserve"> Alajuela (salvo distrito Sarapiquí), Naranjo. </w:t>
                        </w:r>
                      </w:p>
                    </w:tc>
                  </w:tr>
                  <w:tr w:rsidR="00000000"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38135" w:themeFill="accent6" w:themeFillShade="BF"/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Cartago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GAM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 xml:space="preserve"> La Unión y Oreamuno. </w:t>
                        </w:r>
                      </w:p>
                    </w:tc>
                  </w:tr>
                  <w:tr w:rsidR="00000000"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38135" w:themeFill="accent6" w:themeFillShade="BF"/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lastRenderedPageBreak/>
                          <w:t>Heredia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GAM:</w:t>
                        </w:r>
                        <w:r>
                          <w:rPr>
                            <w:sz w:val="24"/>
                          </w:rPr>
                          <w:t xml:space="preserve"> Heredia (salvo distrito Varablanca), Santo Domingo, San Isidro, Flores, San Pablo y Belén.</w:t>
                        </w:r>
                      </w:p>
                    </w:tc>
                  </w:tr>
                  <w:tr w:rsidR="00000000"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538135" w:themeFill="accent6" w:themeFillShade="BF"/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Puntarenas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005D8F">
                        <w:pPr>
                          <w:jc w:val="both"/>
                          <w:rPr>
                            <w:bCs/>
                            <w:sz w:val="24"/>
                          </w:rPr>
                        </w:pPr>
                        <w:r>
                          <w:rPr>
                            <w:bCs/>
                            <w:sz w:val="24"/>
                          </w:rPr>
                          <w:t>Corredores (salvo distrito Corredor)</w:t>
                        </w:r>
                      </w:p>
                    </w:tc>
                  </w:tr>
                </w:tbl>
                <w:p w:rsidR="00000000" w:rsidRDefault="00005D8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005D8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0000" w:rsidRDefault="00005D8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Alertas tempranas por síntomas respiratorios</w:t>
            </w:r>
          </w:p>
          <w:p w:rsidR="00000000" w:rsidRDefault="00005D8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Actualmente 79 distritos de 36 cantones mantienen el riesgo debido a un incremento en las consultas por tos y fiebre, lo cual aumenta el riesgo de enfrentar una alerta naranja próximamente, dado que son síntomas</w:t>
            </w:r>
            <w:r>
              <w:rPr>
                <w:color w:val="000000" w:themeColor="text1"/>
                <w:sz w:val="24"/>
                <w:szCs w:val="24"/>
              </w:rPr>
              <w:t xml:space="preserve"> asociados al COVID-19.</w:t>
            </w:r>
          </w:p>
          <w:p w:rsidR="00000000" w:rsidRDefault="00005D8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Un total de 42 distritos nuevos se suman a esa lista, en tanto que 30 distritos en todo el país lograron salir de esta condición de advertencia. </w:t>
            </w:r>
          </w:p>
          <w:p w:rsidR="00000000" w:rsidRDefault="00005D8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Textoennegrita"/>
                <w:color w:val="202020"/>
                <w:sz w:val="24"/>
                <w:szCs w:val="24"/>
                <w:shd w:val="clear" w:color="auto" w:fill="FFFFFF"/>
              </w:rPr>
              <w:t>Pueden visitar el sitio </w:t>
            </w:r>
            <w:hyperlink r:id="rId8" w:history="1">
              <w:r>
                <w:rPr>
                  <w:rStyle w:val="Hipervnculo"/>
                  <w:color w:val="0843B8"/>
                  <w:sz w:val="24"/>
                  <w:szCs w:val="24"/>
                  <w:shd w:val="clear" w:color="auto" w:fill="FFFFFF"/>
                </w:rPr>
                <w:t>http://presidencia.go.cr/alertas</w:t>
              </w:r>
            </w:hyperlink>
            <w:r>
              <w:rPr>
                <w:rStyle w:val="Textoennegrita"/>
                <w:color w:val="202020"/>
                <w:sz w:val="24"/>
                <w:szCs w:val="24"/>
                <w:shd w:val="clear" w:color="auto" w:fill="FFFFFF"/>
              </w:rPr>
              <w:t> para conocer las alertas, medidas y restricciones implementadas en su cantón.  </w:t>
            </w:r>
          </w:p>
          <w:p w:rsidR="00000000" w:rsidRDefault="00005D8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5D8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005D8F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05D8F">
      <w:pPr>
        <w:spacing w:after="0" w:line="240" w:lineRule="auto"/>
      </w:pPr>
      <w:r>
        <w:separator/>
      </w:r>
    </w:p>
  </w:endnote>
  <w:endnote w:type="continuationSeparator" w:id="0">
    <w:p w:rsidR="00000000" w:rsidRDefault="0000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05D8F">
      <w:pPr>
        <w:spacing w:after="0" w:line="240" w:lineRule="auto"/>
      </w:pPr>
      <w:r>
        <w:separator/>
      </w:r>
    </w:p>
  </w:footnote>
  <w:footnote w:type="continuationSeparator" w:id="0">
    <w:p w:rsidR="00000000" w:rsidRDefault="0000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5D8F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FC2377"/>
    <w:multiLevelType w:val="hybridMultilevel"/>
    <w:tmpl w:val="6E3C87B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4944075">
    <w:abstractNumId w:val="0"/>
  </w:num>
  <w:num w:numId="2" w16cid:durableId="1275089475">
    <w:abstractNumId w:val="0"/>
  </w:num>
  <w:num w:numId="3" w16cid:durableId="649020137">
    <w:abstractNumId w:val="0"/>
    <w:lvlOverride w:ilvl="0"/>
  </w:num>
  <w:num w:numId="4" w16cid:durableId="1205318">
    <w:abstractNumId w:val="1"/>
  </w:num>
  <w:num w:numId="5" w16cid:durableId="2772963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8F"/>
    <w:rsid w:val="000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cia.go.cr/aler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3916-6F89-4C87-A0A9-D4082038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2022-05-13T19:34:00Z</dcterms:created>
  <dcterms:modified xsi:type="dcterms:W3CDTF">2022-05-13T19:34:00Z</dcterms:modified>
</cp:coreProperties>
</file>