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796F13">
            <w:pPr>
              <w:spacing w:after="0" w:line="240" w:lineRule="auto"/>
              <w:rPr>
                <w:rFonts w:ascii="Arial" w:hAnsi="Arial" w:cs="Arial"/>
                <w:bCs/>
                <w:color w:val="000000"/>
                <w:sz w:val="40"/>
                <w:szCs w:val="40"/>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796F13">
            <w:pPr>
              <w:pStyle w:val="Ttulo1"/>
              <w:jc w:val="center"/>
              <w:rPr>
                <w:rFonts w:ascii="Arial" w:hAnsi="Arial" w:cs="Arial"/>
                <w:b/>
                <w:bCs/>
                <w:i/>
                <w:sz w:val="24"/>
                <w:szCs w:val="24"/>
              </w:rPr>
            </w:pPr>
            <w:r>
              <w:rPr>
                <w:b/>
                <w:bCs/>
              </w:rPr>
              <w:t>Familias regresan a sus viviendas tras mejoría del tiempo</w:t>
            </w:r>
          </w:p>
          <w:p w:rsidR="00000000" w:rsidRDefault="00796F13">
            <w:pPr>
              <w:spacing w:after="0" w:line="240" w:lineRule="auto"/>
              <w:jc w:val="center"/>
              <w:rPr>
                <w:rFonts w:ascii="Arial" w:hAnsi="Arial" w:cs="Arial"/>
                <w:i/>
                <w:sz w:val="24"/>
                <w:szCs w:val="24"/>
              </w:rPr>
            </w:pPr>
          </w:p>
          <w:p w:rsidR="00000000" w:rsidRDefault="00796F13">
            <w:pPr>
              <w:spacing w:after="0" w:line="240" w:lineRule="auto"/>
              <w:rPr>
                <w:rFonts w:ascii="Arial" w:hAnsi="Arial" w:cs="Arial"/>
                <w:i/>
                <w:sz w:val="24"/>
                <w:szCs w:val="24"/>
              </w:rPr>
            </w:pPr>
            <w:r>
              <w:rPr>
                <w:rFonts w:ascii="Arial" w:hAnsi="Arial" w:cs="Arial"/>
                <w:i/>
                <w:noProof/>
                <w:sz w:val="24"/>
                <w:szCs w:val="24"/>
              </w:rPr>
              <w:drawing>
                <wp:inline distT="0" distB="0" distL="0" distR="0">
                  <wp:extent cx="6122670" cy="4587875"/>
                  <wp:effectExtent l="0" t="0" r="0" b="3175"/>
                  <wp:docPr id="1" name="Imagen 4" descr="Imagen que contiene exterior, persona, hombre, pa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n que contiene exterior, persona, hombre, parad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rsidR="00000000" w:rsidRDefault="00796F13">
            <w:pPr>
              <w:pStyle w:val="Prrafodelista"/>
              <w:numPr>
                <w:ilvl w:val="0"/>
                <w:numId w:val="2"/>
              </w:numPr>
              <w:spacing w:after="0" w:line="240" w:lineRule="auto"/>
              <w:jc w:val="both"/>
              <w:rPr>
                <w:rFonts w:ascii="Arial" w:hAnsi="Arial" w:cs="Arial"/>
                <w:i/>
                <w:sz w:val="24"/>
                <w:szCs w:val="24"/>
              </w:rPr>
            </w:pPr>
            <w:r>
              <w:rPr>
                <w:rFonts w:ascii="Arial" w:hAnsi="Arial" w:cs="Arial"/>
                <w:i/>
                <w:sz w:val="24"/>
                <w:szCs w:val="24"/>
              </w:rPr>
              <w:t>CNE solicita precaución por posible aumento de deslizamientos</w:t>
            </w:r>
          </w:p>
          <w:p w:rsidR="00000000" w:rsidRDefault="00796F13">
            <w:pPr>
              <w:pStyle w:val="Prrafodelista"/>
              <w:numPr>
                <w:ilvl w:val="0"/>
                <w:numId w:val="2"/>
              </w:numPr>
              <w:spacing w:after="0" w:line="240" w:lineRule="auto"/>
              <w:jc w:val="both"/>
              <w:rPr>
                <w:rFonts w:ascii="Arial" w:hAnsi="Arial" w:cs="Arial"/>
                <w:i/>
                <w:sz w:val="24"/>
                <w:szCs w:val="24"/>
              </w:rPr>
            </w:pPr>
            <w:r>
              <w:rPr>
                <w:rFonts w:ascii="Arial" w:hAnsi="Arial" w:cs="Arial"/>
                <w:i/>
                <w:sz w:val="24"/>
                <w:szCs w:val="24"/>
              </w:rPr>
              <w:t>Inicia proceso de evaluación de daños en infraestructura</w:t>
            </w:r>
          </w:p>
          <w:p w:rsidR="00000000" w:rsidRDefault="00796F13">
            <w:pPr>
              <w:spacing w:after="0" w:line="240" w:lineRule="auto"/>
              <w:jc w:val="both"/>
              <w:rPr>
                <w:rFonts w:ascii="Arial" w:hAnsi="Arial" w:cs="Arial"/>
                <w:i/>
                <w:sz w:val="24"/>
                <w:szCs w:val="24"/>
              </w:rPr>
            </w:pPr>
          </w:p>
          <w:p w:rsidR="00000000" w:rsidRDefault="00796F13">
            <w:pPr>
              <w:jc w:val="both"/>
              <w:rPr>
                <w:rFonts w:ascii="Arial" w:hAnsi="Arial" w:cs="Arial"/>
                <w:sz w:val="24"/>
                <w:szCs w:val="24"/>
              </w:rPr>
            </w:pPr>
            <w:r>
              <w:rPr>
                <w:rFonts w:ascii="Arial" w:hAnsi="Arial" w:cs="Arial"/>
                <w:b/>
                <w:i/>
                <w:sz w:val="20"/>
                <w:szCs w:val="24"/>
              </w:rPr>
              <w:t>San José, 07 noviembre del 2020</w:t>
            </w:r>
            <w:r>
              <w:rPr>
                <w:rFonts w:ascii="Arial" w:hAnsi="Arial" w:cs="Arial"/>
                <w:b/>
                <w:i/>
                <w:sz w:val="24"/>
                <w:szCs w:val="24"/>
              </w:rPr>
              <w:t>.</w:t>
            </w:r>
            <w:r>
              <w:rPr>
                <w:rFonts w:ascii="Arial" w:hAnsi="Arial" w:cs="Arial"/>
                <w:sz w:val="24"/>
                <w:szCs w:val="24"/>
              </w:rPr>
              <w:t xml:space="preserve"> Gracias a la mejoría </w:t>
            </w:r>
            <w:r>
              <w:rPr>
                <w:rFonts w:ascii="Arial" w:hAnsi="Arial" w:cs="Arial"/>
                <w:sz w:val="24"/>
                <w:szCs w:val="24"/>
              </w:rPr>
              <w:t>notable en las condiciones del tiempo en la mayor parte del territorio nacional, este sábado las personas han regresado paulatinamente a sus viviendas.</w:t>
            </w:r>
          </w:p>
          <w:p w:rsidR="00000000" w:rsidRDefault="00796F13">
            <w:pPr>
              <w:jc w:val="both"/>
              <w:rPr>
                <w:rFonts w:ascii="Arial" w:hAnsi="Arial" w:cs="Arial"/>
                <w:sz w:val="24"/>
                <w:szCs w:val="24"/>
              </w:rPr>
            </w:pPr>
            <w:r>
              <w:rPr>
                <w:rFonts w:ascii="Arial" w:hAnsi="Arial" w:cs="Arial"/>
                <w:sz w:val="24"/>
                <w:szCs w:val="24"/>
              </w:rPr>
              <w:t xml:space="preserve">De las 2.056 personas que amanecieron en albergues temporales, han retornado un total de 386 personas a </w:t>
            </w:r>
            <w:r>
              <w:rPr>
                <w:rFonts w:ascii="Arial" w:hAnsi="Arial" w:cs="Arial"/>
                <w:sz w:val="24"/>
                <w:szCs w:val="24"/>
              </w:rPr>
              <w:t>sus casas.  Se mantienen 1670 personas en 56 albergues temporales, principalmente de la Zona Sur.</w:t>
            </w:r>
          </w:p>
          <w:p w:rsidR="00000000" w:rsidRDefault="00796F13">
            <w:pPr>
              <w:jc w:val="both"/>
              <w:rPr>
                <w:rFonts w:ascii="Arial" w:hAnsi="Arial" w:cs="Arial"/>
                <w:sz w:val="24"/>
                <w:szCs w:val="24"/>
              </w:rPr>
            </w:pPr>
            <w:r>
              <w:rPr>
                <w:rFonts w:ascii="Arial" w:hAnsi="Arial" w:cs="Arial"/>
                <w:sz w:val="24"/>
                <w:szCs w:val="24"/>
              </w:rPr>
              <w:t xml:space="preserve">Durante la emergencia, gracias al esfuerzo y la solidaridad interinstitucional se ha logrado suplir y mantener el operativo de distribución de alimentos.  En </w:t>
            </w:r>
            <w:r>
              <w:rPr>
                <w:rFonts w:ascii="Arial" w:hAnsi="Arial" w:cs="Arial"/>
                <w:sz w:val="24"/>
                <w:szCs w:val="24"/>
              </w:rPr>
              <w:t>total, se han entregado 5.544 raciones de alimentos.</w:t>
            </w:r>
          </w:p>
          <w:p w:rsidR="00000000" w:rsidRDefault="00796F13">
            <w:pPr>
              <w:jc w:val="center"/>
              <w:rPr>
                <w:rFonts w:ascii="Arial" w:hAnsi="Arial" w:cs="Arial"/>
                <w:sz w:val="24"/>
                <w:szCs w:val="24"/>
              </w:rPr>
            </w:pPr>
            <w:r>
              <w:rPr>
                <w:rFonts w:ascii="Arial" w:hAnsi="Arial" w:cs="Arial"/>
                <w:noProof/>
                <w:sz w:val="24"/>
                <w:szCs w:val="24"/>
              </w:rPr>
              <w:lastRenderedPageBreak/>
              <w:drawing>
                <wp:inline distT="0" distB="0" distL="0" distR="0">
                  <wp:extent cx="6122670" cy="2822575"/>
                  <wp:effectExtent l="0" t="0" r="0" b="0"/>
                  <wp:docPr id="2" name="Imagen 5" descr="Imagen que contiene persona, exterior, hombre,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persona, exterior, hombre, sostener&#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670" cy="2822575"/>
                          </a:xfrm>
                          <a:prstGeom prst="rect">
                            <a:avLst/>
                          </a:prstGeom>
                          <a:noFill/>
                          <a:ln>
                            <a:noFill/>
                          </a:ln>
                        </pic:spPr>
                      </pic:pic>
                    </a:graphicData>
                  </a:graphic>
                </wp:inline>
              </w:drawing>
            </w:r>
          </w:p>
          <w:p w:rsidR="00000000" w:rsidRDefault="00796F13">
            <w:pPr>
              <w:jc w:val="both"/>
              <w:rPr>
                <w:rFonts w:ascii="Arial" w:hAnsi="Arial" w:cs="Arial"/>
                <w:sz w:val="24"/>
                <w:szCs w:val="24"/>
              </w:rPr>
            </w:pPr>
            <w:r>
              <w:rPr>
                <w:rFonts w:ascii="Arial" w:hAnsi="Arial" w:cs="Arial"/>
                <w:sz w:val="24"/>
                <w:szCs w:val="24"/>
              </w:rPr>
              <w:t>Otra de las acciones de este sábado, ha sido el ingreso hacia las comunidades que, por el aumento del caudal de los ríos, se mantenían aisladas.  Las instituciones de primera respuesta entraron a las c</w:t>
            </w:r>
            <w:r>
              <w:rPr>
                <w:rFonts w:ascii="Arial" w:hAnsi="Arial" w:cs="Arial"/>
                <w:sz w:val="24"/>
                <w:szCs w:val="24"/>
              </w:rPr>
              <w:t xml:space="preserve">omunidades de Platanillo, El Carmen de Platanillo, El Ponedero de Nicoya.  Además, se logró el acceso a la comunidad de Bijagual de Acosta y en la Zona Sur se ingresó a las fincas Cotos. </w:t>
            </w:r>
          </w:p>
          <w:p w:rsidR="00000000" w:rsidRDefault="00796F13">
            <w:pPr>
              <w:shd w:val="clear" w:color="auto" w:fill="FFFFFF"/>
              <w:spacing w:after="0" w:line="240" w:lineRule="auto"/>
              <w:jc w:val="both"/>
              <w:rPr>
                <w:rFonts w:ascii="Arial" w:hAnsi="Arial" w:cs="Arial"/>
                <w:sz w:val="24"/>
                <w:szCs w:val="24"/>
              </w:rPr>
            </w:pPr>
            <w:r>
              <w:rPr>
                <w:rFonts w:ascii="Arial" w:hAnsi="Arial" w:cs="Arial"/>
                <w:sz w:val="24"/>
                <w:szCs w:val="24"/>
              </w:rPr>
              <w:t>Adicionalmente, diferentes equipos de geólogos e ingenieros continúa</w:t>
            </w:r>
            <w:r>
              <w:rPr>
                <w:rFonts w:ascii="Arial" w:hAnsi="Arial" w:cs="Arial"/>
                <w:sz w:val="24"/>
                <w:szCs w:val="24"/>
              </w:rPr>
              <w:t>n la visita a varias zonas para la evaluación de los daños.  Se han evaluado docenas de deslizamientos que afectan directamente, viviendas, cultivos y caminos de zonas tales como Los Santos, Coto Brus, Corredores, Acosta, zonas altas de Desamparados, Mora,</w:t>
            </w:r>
            <w:r>
              <w:rPr>
                <w:rFonts w:ascii="Arial" w:hAnsi="Arial" w:cs="Arial"/>
                <w:sz w:val="24"/>
                <w:szCs w:val="24"/>
              </w:rPr>
              <w:t xml:space="preserve"> Poas de Alajuela, Esparza y Alajuelita.  </w:t>
            </w:r>
          </w:p>
          <w:p w:rsidR="00000000" w:rsidRDefault="00796F13">
            <w:pPr>
              <w:shd w:val="clear" w:color="auto" w:fill="FFFFFF"/>
              <w:spacing w:after="0" w:line="240" w:lineRule="auto"/>
              <w:jc w:val="both"/>
              <w:rPr>
                <w:rFonts w:ascii="Arial" w:hAnsi="Arial" w:cs="Arial"/>
                <w:sz w:val="24"/>
                <w:szCs w:val="24"/>
              </w:rPr>
            </w:pPr>
          </w:p>
          <w:p w:rsidR="00000000" w:rsidRDefault="00796F13">
            <w:pPr>
              <w:shd w:val="clear" w:color="auto" w:fill="FFFFFF"/>
              <w:spacing w:after="0" w:line="240" w:lineRule="auto"/>
              <w:jc w:val="both"/>
              <w:rPr>
                <w:rFonts w:ascii="Arial" w:hAnsi="Arial" w:cs="Arial"/>
                <w:sz w:val="24"/>
                <w:szCs w:val="24"/>
              </w:rPr>
            </w:pPr>
            <w:r>
              <w:rPr>
                <w:rFonts w:ascii="Arial" w:hAnsi="Arial" w:cs="Arial"/>
                <w:sz w:val="24"/>
                <w:szCs w:val="24"/>
              </w:rPr>
              <w:t xml:space="preserve">El geólogo Julio Madrigal, indicó que, en el caso particular del deslizamiento de Los Mangos en </w:t>
            </w:r>
            <w:r>
              <w:rPr>
                <w:rFonts w:ascii="Arial" w:hAnsi="Arial" w:cs="Arial"/>
                <w:sz w:val="24"/>
                <w:szCs w:val="24"/>
              </w:rPr>
              <w:t xml:space="preserve">Alajuelita, ha aumentado la tasa de velocidad de la masa provocando un mayor daño en viviendas y caminos.  Un fenómeno similar ocurre en el deslizamiento de Vallalodit en Desamparados, donde la masa continúa desplazándose a ritmo acelerado.   </w:t>
            </w:r>
          </w:p>
          <w:p w:rsidR="00000000" w:rsidRDefault="00796F13">
            <w:pPr>
              <w:shd w:val="clear" w:color="auto" w:fill="FFFFFF"/>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extent cx="6122670" cy="4587875"/>
                  <wp:effectExtent l="0" t="0" r="0" b="3175"/>
                  <wp:docPr id="3" name="Imagen 6" descr="Imagen que contiene pasto, pequeño, edificio, ca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que contiene pasto, pequeño, edificio, cas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rsidR="00000000" w:rsidRDefault="00796F13">
            <w:pPr>
              <w:shd w:val="clear" w:color="auto" w:fill="FFFFFF"/>
              <w:spacing w:after="0" w:line="240" w:lineRule="auto"/>
              <w:jc w:val="both"/>
              <w:rPr>
                <w:rFonts w:ascii="Arial" w:hAnsi="Arial" w:cs="Arial"/>
                <w:sz w:val="24"/>
                <w:szCs w:val="24"/>
              </w:rPr>
            </w:pPr>
            <w:r>
              <w:rPr>
                <w:rFonts w:ascii="Arial" w:hAnsi="Arial" w:cs="Arial"/>
                <w:sz w:val="24"/>
                <w:szCs w:val="24"/>
              </w:rPr>
              <w:t>Madrigal i</w:t>
            </w:r>
            <w:r>
              <w:rPr>
                <w:rFonts w:ascii="Arial" w:hAnsi="Arial" w:cs="Arial"/>
                <w:sz w:val="24"/>
                <w:szCs w:val="24"/>
              </w:rPr>
              <w:t xml:space="preserve">ndicó que, ante la alta saturación de los suelos por las lluvias por aproximadamente 5 días continuos, es probable que se activen nuevos deslizamientos sobre carreteras, laderas o márgenes de ríos en las próximas horas o días.  </w:t>
            </w:r>
          </w:p>
          <w:p w:rsidR="00000000" w:rsidRDefault="00796F13">
            <w:pPr>
              <w:shd w:val="clear" w:color="auto" w:fill="FFFFFF"/>
              <w:spacing w:after="0" w:line="240" w:lineRule="auto"/>
              <w:jc w:val="both"/>
              <w:rPr>
                <w:rFonts w:ascii="Arial" w:hAnsi="Arial" w:cs="Arial"/>
                <w:sz w:val="24"/>
                <w:szCs w:val="24"/>
              </w:rPr>
            </w:pPr>
          </w:p>
          <w:p w:rsidR="00000000" w:rsidRDefault="00796F13">
            <w:pPr>
              <w:shd w:val="clear" w:color="auto" w:fill="FFFFFF"/>
              <w:spacing w:after="0" w:line="240" w:lineRule="auto"/>
              <w:jc w:val="both"/>
              <w:rPr>
                <w:rFonts w:ascii="Arial" w:hAnsi="Arial" w:cs="Arial"/>
                <w:sz w:val="24"/>
                <w:szCs w:val="24"/>
              </w:rPr>
            </w:pPr>
            <w:r>
              <w:rPr>
                <w:rFonts w:ascii="Arial" w:hAnsi="Arial" w:cs="Arial"/>
                <w:sz w:val="24"/>
                <w:szCs w:val="24"/>
              </w:rPr>
              <w:t>Ante tal situación, la CNE</w:t>
            </w:r>
            <w:r>
              <w:rPr>
                <w:rFonts w:ascii="Arial" w:hAnsi="Arial" w:cs="Arial"/>
                <w:sz w:val="24"/>
                <w:szCs w:val="24"/>
              </w:rPr>
              <w:t xml:space="preserve"> solicita mantener mucha precaución y estar vigilantes ante la presencia de agrietamientos, “lloraderos” de agua, desprendimientos de bloque de suelos, retumbos y otras evidencias. </w:t>
            </w:r>
          </w:p>
          <w:p w:rsidR="00000000" w:rsidRDefault="00796F13">
            <w:pPr>
              <w:shd w:val="clear" w:color="auto" w:fill="FFFFFF"/>
              <w:spacing w:after="0" w:line="240" w:lineRule="auto"/>
              <w:jc w:val="both"/>
              <w:rPr>
                <w:rFonts w:ascii="Arial" w:hAnsi="Arial" w:cs="Arial"/>
                <w:sz w:val="24"/>
                <w:szCs w:val="24"/>
              </w:rPr>
            </w:pPr>
          </w:p>
          <w:p w:rsidR="00000000" w:rsidRDefault="00796F13">
            <w:pPr>
              <w:shd w:val="clear" w:color="auto" w:fill="FFFFFF"/>
              <w:spacing w:after="0" w:line="240" w:lineRule="auto"/>
              <w:jc w:val="both"/>
              <w:rPr>
                <w:rFonts w:ascii="Arial" w:hAnsi="Arial" w:cs="Arial"/>
                <w:sz w:val="24"/>
                <w:szCs w:val="24"/>
              </w:rPr>
            </w:pPr>
            <w:r>
              <w:rPr>
                <w:rFonts w:ascii="Arial" w:hAnsi="Arial" w:cs="Arial"/>
                <w:sz w:val="24"/>
                <w:szCs w:val="24"/>
              </w:rPr>
              <w:t>Otra de las acciones, ha sido el ingreso de maquinaria para el restableci</w:t>
            </w:r>
            <w:r>
              <w:rPr>
                <w:rFonts w:ascii="Arial" w:hAnsi="Arial" w:cs="Arial"/>
                <w:sz w:val="24"/>
                <w:szCs w:val="24"/>
              </w:rPr>
              <w:t xml:space="preserve">miento de rutas y caminos.  De acuerdo con datos del MOPT, se han habilitado un total de 17 rutas y se mantienen sin paso 18 rutas.  </w:t>
            </w:r>
            <w:r>
              <w:rPr>
                <w:rFonts w:ascii="Arial" w:hAnsi="Arial" w:cs="Arial"/>
                <w:b/>
                <w:bCs/>
                <w:sz w:val="24"/>
                <w:szCs w:val="24"/>
              </w:rPr>
              <w:t>Adjunto cuadro</w:t>
            </w:r>
          </w:p>
          <w:p w:rsidR="00000000" w:rsidRDefault="00796F13">
            <w:pPr>
              <w:shd w:val="clear" w:color="auto" w:fill="FFFFFF"/>
              <w:spacing w:after="0" w:line="240" w:lineRule="auto"/>
              <w:jc w:val="both"/>
              <w:rPr>
                <w:rFonts w:ascii="Arial" w:hAnsi="Arial" w:cs="Arial"/>
                <w:sz w:val="24"/>
                <w:szCs w:val="24"/>
              </w:rPr>
            </w:pPr>
            <w:r>
              <w:rPr>
                <w:rFonts w:ascii="Arial" w:hAnsi="Arial" w:cs="Arial"/>
                <w:sz w:val="24"/>
                <w:szCs w:val="24"/>
              </w:rPr>
              <w:t xml:space="preserve"> </w:t>
            </w:r>
          </w:p>
          <w:p w:rsidR="00000000" w:rsidRDefault="00796F13">
            <w:pPr>
              <w:spacing w:after="0" w:line="240" w:lineRule="auto"/>
              <w:jc w:val="both"/>
              <w:rPr>
                <w:rFonts w:ascii="Arial" w:hAnsi="Arial" w:cs="Arial"/>
                <w:b/>
                <w:bCs/>
                <w:sz w:val="26"/>
                <w:szCs w:val="26"/>
              </w:rPr>
            </w:pPr>
            <w:r>
              <w:rPr>
                <w:rFonts w:ascii="Arial" w:hAnsi="Arial" w:cs="Arial"/>
                <w:b/>
                <w:bCs/>
                <w:sz w:val="26"/>
                <w:szCs w:val="26"/>
              </w:rPr>
              <w:t>Presidente de la CNE visita Zona Sur este sábado</w:t>
            </w:r>
          </w:p>
          <w:p w:rsidR="00000000" w:rsidRDefault="00796F13">
            <w:pPr>
              <w:spacing w:after="0" w:line="240" w:lineRule="auto"/>
              <w:jc w:val="both"/>
              <w:rPr>
                <w:rFonts w:ascii="Arial" w:hAnsi="Arial" w:cs="Arial"/>
                <w:b/>
                <w:bCs/>
                <w:sz w:val="26"/>
                <w:szCs w:val="26"/>
              </w:rPr>
            </w:pPr>
          </w:p>
          <w:p w:rsidR="00000000" w:rsidRDefault="00796F13">
            <w:pPr>
              <w:spacing w:after="0" w:line="240" w:lineRule="auto"/>
              <w:jc w:val="both"/>
              <w:rPr>
                <w:rFonts w:ascii="Arial" w:hAnsi="Arial" w:cs="Arial"/>
                <w:sz w:val="24"/>
                <w:szCs w:val="24"/>
              </w:rPr>
            </w:pPr>
            <w:r>
              <w:rPr>
                <w:rFonts w:ascii="Arial" w:hAnsi="Arial" w:cs="Arial"/>
                <w:sz w:val="24"/>
                <w:szCs w:val="24"/>
              </w:rPr>
              <w:t xml:space="preserve">Durante la gira a la Zona Sur, el presidente de la CNE, </w:t>
            </w:r>
            <w:r>
              <w:rPr>
                <w:rFonts w:ascii="Arial" w:hAnsi="Arial" w:cs="Arial"/>
                <w:sz w:val="24"/>
                <w:szCs w:val="24"/>
              </w:rPr>
              <w:t>Alexander Solís, mantuvo reuniones con los Comités Municipales de Emergencia de Ciudad Neilly, Golfito y Coto Brus, y se realizaron labores de evaluación de daños junto con personal técnico de la CNE así como la permanencia activa de los Comités Municipale</w:t>
            </w:r>
            <w:r>
              <w:rPr>
                <w:rFonts w:ascii="Arial" w:hAnsi="Arial" w:cs="Arial"/>
                <w:sz w:val="24"/>
                <w:szCs w:val="24"/>
              </w:rPr>
              <w:t>s de Emergencias.</w:t>
            </w:r>
          </w:p>
          <w:p w:rsidR="00000000" w:rsidRDefault="00796F13">
            <w:pPr>
              <w:spacing w:after="0" w:line="240" w:lineRule="auto"/>
              <w:jc w:val="both"/>
              <w:rPr>
                <w:rFonts w:ascii="Arial" w:hAnsi="Arial" w:cs="Arial"/>
                <w:sz w:val="24"/>
                <w:szCs w:val="24"/>
              </w:rPr>
            </w:pPr>
          </w:p>
          <w:p w:rsidR="00000000" w:rsidRDefault="00796F13">
            <w:pPr>
              <w:spacing w:after="0" w:line="240" w:lineRule="auto"/>
              <w:jc w:val="both"/>
              <w:rPr>
                <w:rFonts w:ascii="Arial" w:hAnsi="Arial" w:cs="Arial"/>
                <w:sz w:val="24"/>
                <w:szCs w:val="24"/>
              </w:rPr>
            </w:pPr>
            <w:r>
              <w:rPr>
                <w:rFonts w:ascii="Arial" w:hAnsi="Arial" w:cs="Arial"/>
                <w:sz w:val="24"/>
                <w:szCs w:val="24"/>
              </w:rPr>
              <w:t>"Debemos hacer todo lo que esté en nuestras manos y trabajar juntos por llevar la ayuda humanitaria a todas las personas que lo requieran, sin importar dónde se encuentren" comentó Solis.</w:t>
            </w:r>
          </w:p>
          <w:p w:rsidR="00000000" w:rsidRDefault="00796F13">
            <w:pPr>
              <w:spacing w:after="0" w:line="240" w:lineRule="auto"/>
              <w:jc w:val="both"/>
              <w:rPr>
                <w:rFonts w:ascii="Arial" w:hAnsi="Arial" w:cs="Arial"/>
                <w:sz w:val="24"/>
                <w:szCs w:val="24"/>
              </w:rPr>
            </w:pPr>
          </w:p>
          <w:p w:rsidR="00000000" w:rsidRDefault="00796F13">
            <w:pPr>
              <w:spacing w:after="0" w:line="240" w:lineRule="auto"/>
              <w:jc w:val="both"/>
              <w:rPr>
                <w:rFonts w:ascii="Arial" w:hAnsi="Arial" w:cs="Arial"/>
                <w:sz w:val="24"/>
                <w:szCs w:val="24"/>
              </w:rPr>
            </w:pPr>
            <w:r>
              <w:rPr>
                <w:rFonts w:ascii="Arial" w:hAnsi="Arial" w:cs="Arial"/>
                <w:sz w:val="24"/>
                <w:szCs w:val="24"/>
              </w:rPr>
              <w:t>Las zonas visitadas por el jerarca fueron Lagart</w:t>
            </w:r>
            <w:r>
              <w:rPr>
                <w:rFonts w:ascii="Arial" w:hAnsi="Arial" w:cs="Arial"/>
                <w:sz w:val="24"/>
                <w:szCs w:val="24"/>
              </w:rPr>
              <w:t>o en Río Claro de Golfito, la comunidad de La Fuente para valorar el dique del río Caño Seco, Ciudad Neilly y Concepción de Agua Buena en Coto Brus.</w:t>
            </w:r>
          </w:p>
          <w:p w:rsidR="00000000" w:rsidRDefault="00796F13">
            <w:pPr>
              <w:spacing w:after="0" w:line="240" w:lineRule="auto"/>
              <w:jc w:val="both"/>
              <w:rPr>
                <w:rFonts w:ascii="Arial" w:hAnsi="Arial" w:cs="Arial"/>
                <w:sz w:val="24"/>
                <w:szCs w:val="24"/>
              </w:rPr>
            </w:pPr>
          </w:p>
          <w:p w:rsidR="00000000" w:rsidRDefault="00796F13">
            <w:pPr>
              <w:spacing w:after="0" w:line="240" w:lineRule="auto"/>
              <w:jc w:val="both"/>
              <w:rPr>
                <w:rFonts w:ascii="Arial" w:hAnsi="Arial" w:cs="Arial"/>
                <w:b/>
                <w:bCs/>
                <w:sz w:val="24"/>
                <w:szCs w:val="24"/>
              </w:rPr>
            </w:pPr>
            <w:r>
              <w:rPr>
                <w:rFonts w:ascii="Arial" w:hAnsi="Arial" w:cs="Arial"/>
                <w:b/>
                <w:bCs/>
                <w:sz w:val="24"/>
                <w:szCs w:val="24"/>
              </w:rPr>
              <w:t>Alertas se mantienen</w:t>
            </w:r>
          </w:p>
          <w:p w:rsidR="00000000" w:rsidRDefault="00796F13">
            <w:pPr>
              <w:spacing w:after="0" w:line="240" w:lineRule="auto"/>
              <w:jc w:val="both"/>
              <w:rPr>
                <w:rFonts w:ascii="Arial" w:hAnsi="Arial" w:cs="Arial"/>
                <w:sz w:val="26"/>
                <w:szCs w:val="26"/>
              </w:rPr>
            </w:pPr>
            <w:r>
              <w:rPr>
                <w:rFonts w:ascii="Arial" w:hAnsi="Arial" w:cs="Arial"/>
                <w:sz w:val="26"/>
                <w:szCs w:val="26"/>
              </w:rPr>
              <w:t>Aunque estamos fuera de la influencia de ETA y retornaran paulatinamente las condicio</w:t>
            </w:r>
            <w:r>
              <w:rPr>
                <w:rFonts w:ascii="Arial" w:hAnsi="Arial" w:cs="Arial"/>
                <w:sz w:val="26"/>
                <w:szCs w:val="26"/>
              </w:rPr>
              <w:t>nes del período lluvioso, la CNE mantiene las alertas declaradas y continúan activos tanto su estructura operativa como los Comités Municipales de Emergencia (CME) para la atención de afectaciones.</w:t>
            </w:r>
          </w:p>
          <w:p w:rsidR="00000000" w:rsidRDefault="00796F13">
            <w:pPr>
              <w:spacing w:after="0" w:line="240" w:lineRule="auto"/>
              <w:jc w:val="both"/>
              <w:rPr>
                <w:rFonts w:ascii="Arial" w:hAnsi="Arial" w:cs="Arial"/>
                <w:sz w:val="26"/>
                <w:szCs w:val="26"/>
              </w:rPr>
            </w:pPr>
          </w:p>
          <w:p w:rsidR="00000000" w:rsidRDefault="00796F13">
            <w:pPr>
              <w:spacing w:after="0" w:line="240" w:lineRule="auto"/>
              <w:jc w:val="both"/>
              <w:rPr>
                <w:rFonts w:ascii="Arial" w:hAnsi="Arial" w:cs="Arial"/>
                <w:b/>
                <w:bCs/>
                <w:sz w:val="24"/>
                <w:szCs w:val="24"/>
              </w:rPr>
            </w:pPr>
            <w:r>
              <w:rPr>
                <w:rFonts w:ascii="Arial" w:hAnsi="Arial" w:cs="Arial"/>
                <w:sz w:val="26"/>
                <w:szCs w:val="26"/>
              </w:rPr>
              <w:t xml:space="preserve">Siendo así, que se mantiene la </w:t>
            </w:r>
            <w:r>
              <w:rPr>
                <w:rFonts w:ascii="Arial" w:hAnsi="Arial" w:cs="Arial"/>
                <w:b/>
                <w:bCs/>
                <w:sz w:val="26"/>
                <w:szCs w:val="26"/>
              </w:rPr>
              <w:t>Alerta Roja</w:t>
            </w:r>
            <w:r>
              <w:rPr>
                <w:rFonts w:ascii="Arial" w:hAnsi="Arial" w:cs="Arial"/>
                <w:sz w:val="26"/>
                <w:szCs w:val="26"/>
              </w:rPr>
              <w:t xml:space="preserve"> para Hojancha, Nandayure, Nicoya, Corredores, Coto Brus, Parrita, Quepos y Golfito. La </w:t>
            </w:r>
            <w:r>
              <w:rPr>
                <w:rFonts w:ascii="Arial" w:hAnsi="Arial" w:cs="Arial"/>
                <w:b/>
                <w:bCs/>
                <w:sz w:val="26"/>
                <w:szCs w:val="26"/>
              </w:rPr>
              <w:t>Alerta Naranja</w:t>
            </w:r>
            <w:r>
              <w:rPr>
                <w:rFonts w:ascii="Arial" w:hAnsi="Arial" w:cs="Arial"/>
                <w:sz w:val="26"/>
                <w:szCs w:val="26"/>
              </w:rPr>
              <w:t xml:space="preserve"> para Upala, y la Vertiente del Pacífico (excepto Hojancha, Nandayure, Nicoya Corredores, Parrita, Quepos Coto B</w:t>
            </w:r>
            <w:r>
              <w:rPr>
                <w:rFonts w:ascii="Arial" w:hAnsi="Arial" w:cs="Arial"/>
                <w:sz w:val="26"/>
                <w:szCs w:val="26"/>
              </w:rPr>
              <w:t xml:space="preserve">rus y Golfito). Así como </w:t>
            </w:r>
            <w:r>
              <w:rPr>
                <w:rFonts w:ascii="Arial" w:hAnsi="Arial" w:cs="Arial"/>
                <w:sz w:val="24"/>
                <w:szCs w:val="24"/>
              </w:rPr>
              <w:t xml:space="preserve">la </w:t>
            </w:r>
            <w:r>
              <w:rPr>
                <w:rFonts w:ascii="Arial" w:hAnsi="Arial" w:cs="Arial"/>
                <w:b/>
                <w:bCs/>
                <w:sz w:val="24"/>
                <w:szCs w:val="24"/>
              </w:rPr>
              <w:t>Alerta Amarilla</w:t>
            </w:r>
            <w:r>
              <w:rPr>
                <w:rFonts w:ascii="Arial" w:hAnsi="Arial" w:cs="Arial"/>
                <w:sz w:val="24"/>
                <w:szCs w:val="24"/>
              </w:rPr>
              <w:t xml:space="preserve"> para la Zona Norte (excepto Upala) y el Valle Central, y Alerta</w:t>
            </w:r>
            <w:r>
              <w:rPr>
                <w:rFonts w:ascii="Arial" w:hAnsi="Arial" w:cs="Arial"/>
                <w:b/>
                <w:bCs/>
                <w:sz w:val="24"/>
                <w:szCs w:val="24"/>
              </w:rPr>
              <w:t xml:space="preserve"> Verde</w:t>
            </w:r>
            <w:r>
              <w:rPr>
                <w:rFonts w:ascii="Arial" w:hAnsi="Arial" w:cs="Arial"/>
                <w:sz w:val="24"/>
                <w:szCs w:val="24"/>
              </w:rPr>
              <w:t xml:space="preserve"> para la Región Caribe</w:t>
            </w:r>
            <w:r>
              <w:rPr>
                <w:rFonts w:ascii="Arial" w:hAnsi="Arial" w:cs="Arial"/>
                <w:b/>
                <w:bCs/>
                <w:sz w:val="24"/>
                <w:szCs w:val="24"/>
              </w:rPr>
              <w:t>.</w:t>
            </w:r>
          </w:p>
          <w:p w:rsidR="00000000" w:rsidRDefault="00796F13">
            <w:pPr>
              <w:spacing w:after="0" w:line="240" w:lineRule="auto"/>
              <w:jc w:val="both"/>
              <w:rPr>
                <w:rFonts w:ascii="Arial" w:hAnsi="Arial" w:cs="Arial"/>
                <w:sz w:val="26"/>
                <w:szCs w:val="26"/>
              </w:rPr>
            </w:pPr>
          </w:p>
          <w:p w:rsidR="00000000" w:rsidRDefault="00796F13">
            <w:pPr>
              <w:spacing w:after="0" w:line="240" w:lineRule="auto"/>
              <w:jc w:val="both"/>
              <w:rPr>
                <w:rFonts w:ascii="Arial" w:hAnsi="Arial" w:cs="Arial"/>
                <w:i/>
                <w:iCs/>
                <w:sz w:val="26"/>
                <w:szCs w:val="26"/>
              </w:rPr>
            </w:pPr>
            <w:r>
              <w:rPr>
                <w:rFonts w:ascii="Arial" w:hAnsi="Arial" w:cs="Arial"/>
                <w:i/>
                <w:iCs/>
                <w:sz w:val="26"/>
                <w:szCs w:val="26"/>
              </w:rPr>
              <w:t>Rutas cerradas</w:t>
            </w:r>
          </w:p>
          <w:p w:rsidR="00000000" w:rsidRDefault="00796F13">
            <w:pPr>
              <w:jc w:val="center"/>
              <w:rPr>
                <w:rFonts w:ascii="Arial" w:hAnsi="Arial" w:cs="Arial"/>
                <w:b/>
                <w:bCs/>
                <w:sz w:val="24"/>
                <w:szCs w:val="24"/>
              </w:rPr>
            </w:pPr>
            <w:r>
              <w:rPr>
                <w:rFonts w:ascii="Arial" w:hAnsi="Arial" w:cs="Arial"/>
                <w:b/>
                <w:noProof/>
                <w:sz w:val="24"/>
                <w:szCs w:val="24"/>
              </w:rPr>
              <w:drawing>
                <wp:inline distT="0" distB="0" distL="0" distR="0">
                  <wp:extent cx="6114415" cy="3601720"/>
                  <wp:effectExtent l="0" t="0" r="635" b="0"/>
                  <wp:docPr id="4"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abl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3601720"/>
                          </a:xfrm>
                          <a:prstGeom prst="rect">
                            <a:avLst/>
                          </a:prstGeom>
                          <a:noFill/>
                          <a:ln>
                            <a:noFill/>
                          </a:ln>
                        </pic:spPr>
                      </pic:pic>
                    </a:graphicData>
                  </a:graphic>
                </wp:inline>
              </w:drawing>
            </w:r>
          </w:p>
          <w:p w:rsidR="00000000" w:rsidRDefault="00796F13">
            <w:pPr>
              <w:spacing w:after="0" w:line="240" w:lineRule="auto"/>
              <w:jc w:val="both"/>
              <w:rPr>
                <w:rFonts w:ascii="Arial" w:hAnsi="Arial" w:cs="Arial"/>
                <w:sz w:val="26"/>
                <w:szCs w:val="26"/>
              </w:rPr>
            </w:pPr>
            <w:r>
              <w:rPr>
                <w:rFonts w:ascii="Arial" w:hAnsi="Arial" w:cs="Arial"/>
                <w:sz w:val="26"/>
                <w:szCs w:val="26"/>
              </w:rPr>
              <w:t>Fuente: MOPT-CONAVI</w:t>
            </w:r>
          </w:p>
        </w:tc>
        <w:tc>
          <w:tcPr>
            <w:tcW w:w="269" w:type="dxa"/>
            <w:tcBorders>
              <w:top w:val="single" w:sz="4" w:space="0" w:color="auto"/>
              <w:left w:val="single" w:sz="4" w:space="0" w:color="auto"/>
              <w:bottom w:val="single" w:sz="4" w:space="0" w:color="auto"/>
              <w:right w:val="single" w:sz="4" w:space="0" w:color="auto"/>
            </w:tcBorders>
          </w:tcPr>
          <w:p w:rsidR="00000000" w:rsidRDefault="00796F13">
            <w:pPr>
              <w:spacing w:after="0" w:line="240" w:lineRule="auto"/>
              <w:rPr>
                <w:rFonts w:ascii="Arial" w:hAnsi="Arial" w:cs="Arial"/>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796F13">
            <w:pPr>
              <w:spacing w:after="0" w:line="240" w:lineRule="auto"/>
              <w:rPr>
                <w:rFonts w:ascii="Arial" w:hAnsi="Arial" w:cs="Arial"/>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796F13">
            <w:pPr>
              <w:spacing w:after="0" w:line="240" w:lineRule="auto"/>
              <w:rPr>
                <w:rFonts w:ascii="Arial" w:hAnsi="Arial" w:cs="Arial"/>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796F13">
            <w:pPr>
              <w:spacing w:after="0" w:line="240" w:lineRule="auto"/>
              <w:rPr>
                <w:rFonts w:ascii="Arial" w:hAnsi="Arial" w:cs="Arial"/>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796F13">
            <w:pPr>
              <w:spacing w:after="0" w:line="240" w:lineRule="auto"/>
              <w:rPr>
                <w:rFonts w:ascii="Arial" w:hAnsi="Arial" w:cs="Arial"/>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796F13">
            <w:pPr>
              <w:spacing w:after="0" w:line="240" w:lineRule="auto"/>
              <w:rPr>
                <w:rFonts w:ascii="Arial" w:hAnsi="Arial" w:cs="Arial"/>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796F13">
            <w:pPr>
              <w:spacing w:after="0" w:line="240" w:lineRule="auto"/>
              <w:rPr>
                <w:rFonts w:ascii="Arial" w:hAnsi="Arial" w:cs="Arial"/>
                <w:bCs/>
                <w:color w:val="000000"/>
                <w:sz w:val="40"/>
                <w:szCs w:val="40"/>
                <w:lang w:eastAsia="es-CR"/>
              </w:rPr>
            </w:pPr>
          </w:p>
        </w:tc>
      </w:tr>
      <w:bookmarkEnd w:id="0"/>
    </w:tbl>
    <w:p w:rsidR="00000000" w:rsidRDefault="00796F13">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3775D"/>
    <w:multiLevelType w:val="hybridMultilevel"/>
    <w:tmpl w:val="F7200E9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2042584779">
    <w:abstractNumId w:val="0"/>
  </w:num>
  <w:num w:numId="2" w16cid:durableId="126912065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13"/>
    <w:rsid w:val="00796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3460</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2022-05-13T19:46:00Z</dcterms:created>
  <dcterms:modified xsi:type="dcterms:W3CDTF">2022-05-13T19:46:00Z</dcterms:modified>
</cp:coreProperties>
</file>