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pStyle w:val="Ttulo1"/>
            </w:pPr>
            <w:r>
              <w:t>“Modelo de Gestión compartida: Costa Rica trabaja y se cuida” contra el COVID-19 arranca en cada cantón</w:t>
            </w:r>
          </w:p>
          <w:p w:rsidR="00000000" w:rsidRDefault="00684F97"/>
          <w:p w:rsidR="00000000" w:rsidRDefault="00684F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000000" w:rsidRDefault="00684F97">
            <w:pPr>
              <w:pStyle w:val="Prrafodelista"/>
              <w:numPr>
                <w:ilvl w:val="0"/>
                <w:numId w:val="5"/>
              </w:numPr>
              <w:spacing w:line="254" w:lineRule="auto"/>
              <w:ind w:left="1416" w:hanging="105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Con este modelo, los gobiernos locales, </w:t>
            </w:r>
            <w:r>
              <w:rPr>
                <w:rFonts w:ascii="Arial" w:hAnsi="Arial" w:cs="Arial"/>
                <w:b/>
                <w:bCs/>
                <w:i/>
              </w:rPr>
              <w:t xml:space="preserve">sector privado, comunidad y los Comités Municipales de Emergencias fortalecerán las acciones preventivas. </w:t>
            </w:r>
          </w:p>
          <w:p w:rsidR="00000000" w:rsidRDefault="00684F97">
            <w:pPr>
              <w:pStyle w:val="Prrafodelista"/>
              <w:numPr>
                <w:ilvl w:val="0"/>
                <w:numId w:val="5"/>
              </w:numPr>
              <w:spacing w:line="254" w:lineRule="auto"/>
              <w:ind w:left="1416" w:hanging="105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Hlk49757625"/>
            <w:r>
              <w:rPr>
                <w:rFonts w:ascii="Arial" w:hAnsi="Arial" w:cs="Arial"/>
                <w:b/>
                <w:bCs/>
                <w:i/>
                <w:lang w:val="es-ES"/>
              </w:rPr>
              <w:t>El plan de acción será evaluado mediante una revisión quincenal para reforzar los ejes de acción en el territorio.</w:t>
            </w:r>
          </w:p>
          <w:p w:rsidR="00000000" w:rsidRDefault="00684F97">
            <w:pPr>
              <w:pStyle w:val="Prrafodelista"/>
              <w:numPr>
                <w:ilvl w:val="0"/>
                <w:numId w:val="5"/>
              </w:numPr>
              <w:spacing w:line="254" w:lineRule="auto"/>
              <w:ind w:left="1416" w:hanging="1056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>Este modelo es una estrategia comp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>lementaria que busca un balance entre la actividad productiva y las medidas sanitarias.</w:t>
            </w:r>
            <w:bookmarkEnd w:id="0"/>
          </w:p>
          <w:p w:rsidR="00000000" w:rsidRDefault="00684F97">
            <w:pPr>
              <w:spacing w:line="254" w:lineRule="auto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31 de agosto de 2020</w:t>
            </w:r>
            <w:r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Con el lema “Costa Rica trabaja y se cuida”, arranca un modelo de gestión compartida por el gobierno y las municipalidades para complem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entar y fortalecer los esfuerzos entre la empresa privada, el comercio y una fuerte gestión comunitaria, que permita reactivar la economía aplicando innovadoras medidas para prevenir el contagio por COVID-19.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Este modelo es una estrategia complementaria qu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 busca un balance entre la actividad productiva y las medidas sanitarias con la definición de ejes de coordinación que surgieron de varias sesiones de trabajo. La propuesta ha sido fortalecida</w:t>
            </w:r>
            <w:r>
              <w:rPr>
                <w:rFonts w:ascii="Arial" w:hAnsi="Arial" w:cs="Arial"/>
                <w:bCs/>
                <w:iCs/>
                <w:color w:val="5B9BD5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 buenas prácticas impulsadas por algunas municipalidades de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 país.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la primera fase, cada Comité Municipal de Emergencias (CME), evaluará el grado de implementación de acciones preventivas y fortalecerá aquellas tareas que se encuentran débiles. El plan de acción tendrá una revisión quincenal para analizar los p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rocesos y reforzar los ejes de acción en el territorio.</w:t>
            </w:r>
            <w:r>
              <w:rPr>
                <w:rFonts w:ascii="Arial" w:hAnsi="Arial" w:cs="Arial"/>
                <w:bCs/>
                <w:i/>
                <w:lang w:val="es-ES"/>
              </w:rPr>
              <w:t xml:space="preserve"> 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Así lo dieron a conocer autoridades del IFAM, MEIC y CNE en conferencia de prensa.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Sigifredo Pérez, jefe de operaciones de la CNE, enfatizó que el modelo promueve el reforzamiento de las medidas actu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ales con la integración de más actores en el ámbito regional, cantonal, distrital y comunitario.   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este sentido, Perez enfatizó que se estimula una fuerte organización cantonal para comunicar, controlar y supervisar la aplicación estricta de medidas sa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nitarias que permita una mayor apertura económica.  En caso de no cumplirse dichos protocolos será necesario aplicar medidas más fuertes para prevenir la transmisión del virus en cada cantón.</w:t>
            </w:r>
          </w:p>
          <w:p w:rsidR="00000000" w:rsidRDefault="00684F97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Implementación del trabajo conjunto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Marcela Guerrero Campos del Instituto de Fomento y Asesoría Municipal, señaló que, de forma decidida y solidaria, se plantea que la iniciativa posibilite y refuerce el liderazgo de los noventa gobiernos locales, se afian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ce un intercambio intermunicipal de buenas prácticas para la implementación del plan de gestión de riesgo que garantiza la efectividad y puesta en marcha del modelo, en ese sentido, permita alianzas entre estructuras de base comunal y los habitantes del te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rritorio nacional.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De esta forma, el trabajo articulado entre las instituciones que integran el Comité Municipal de Emergencia bajo la coordinación del alcalde o alcaldesa permitirá la implementación del modelo de gestión compartida por medio de varios eje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s de acción.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Uno de estos ejes es reforzar las acciones y protocolos desarrollados por el Ministerio de Salud para identificar y contener los grupos de riesgo, previniendo así, un aumento en el contagio por COVID-19.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Otro eje se centra en la labor de asist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encia humanitaria en personas positivas por COVID-19 o bien que tengan una orden sanitaria. La colaboración a esta población se realizará mediante un proceso articulado con el Instituto Mixto de Ayuda Social (IMAS).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La propuesta se apoya, además, en el des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arrollo de una estrategia de comunicación, que permite llevar el mensaje preventivo a toda la población. Este abordaje se trabaja a través de Dinadeco. Por medio de las 3 500 Asociaciones de desarrollo, se incorporarán a los Comités Municipales de Emergenc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ias, para contar con agentes multiplicadores del mensaje preventivo y reforzar así el tema de la responsabilidad individual.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Por medio del enlace de esfuerzos, se desarrollará el siguiente eje, el cual consiste en realizar el debido control y la fiscalizac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ión de las actividades productivas bajo el cumplimiento de los protocolos establecidos por el Ministerio de Salud.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En las mesas de los CME estarán incorporadas las áreas rectoras como lo son la Caja Costarricense del Seguro Social (C.C.S.S.) y el Ministeri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o de Salud para el abordaje de las medias y el manejo de la información que se genera en los territorios. 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Este plan de acción será evaluado mediante la revisión quincenal para analizar los procesos y reforzar los ejes de acción en el territorio, con el fi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 xml:space="preserve">n de ver el impacto en la reducción de la transmisión de casos, así como el cumplimiento de la responsabilidad de los diferentes sectores involucrados. </w:t>
            </w: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  <w:p w:rsidR="00000000" w:rsidRDefault="00684F9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</w:p>
          <w:p w:rsidR="00000000" w:rsidRDefault="00684F97">
            <w:pPr>
              <w:jc w:val="both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4F97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84F97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84F97">
      <w:pPr>
        <w:spacing w:after="0" w:line="240" w:lineRule="auto"/>
      </w:pPr>
      <w:r>
        <w:separator/>
      </w:r>
    </w:p>
  </w:endnote>
  <w:endnote w:type="continuationSeparator" w:id="0">
    <w:p w:rsidR="00000000" w:rsidRDefault="006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84F97">
      <w:pPr>
        <w:spacing w:after="0" w:line="240" w:lineRule="auto"/>
      </w:pPr>
      <w:r>
        <w:separator/>
      </w:r>
    </w:p>
  </w:footnote>
  <w:footnote w:type="continuationSeparator" w:id="0">
    <w:p w:rsidR="00000000" w:rsidRDefault="0068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84F9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D107CF"/>
    <w:multiLevelType w:val="hybridMultilevel"/>
    <w:tmpl w:val="A1C6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1680">
    <w:abstractNumId w:val="0"/>
  </w:num>
  <w:num w:numId="2" w16cid:durableId="1221596899">
    <w:abstractNumId w:val="0"/>
  </w:num>
  <w:num w:numId="3" w16cid:durableId="687297851">
    <w:abstractNumId w:val="0"/>
    <w:lvlOverride w:ilvl="0"/>
  </w:num>
  <w:num w:numId="4" w16cid:durableId="217057204">
    <w:abstractNumId w:val="1"/>
  </w:num>
  <w:num w:numId="5" w16cid:durableId="82189210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97"/>
    <w:rsid w:val="006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2022-05-13T19:50:00Z</dcterms:created>
  <dcterms:modified xsi:type="dcterms:W3CDTF">2022-05-13T19:50:00Z</dcterms:modified>
</cp:coreProperties>
</file>