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1079"/>
        <w:gridCol w:w="3437"/>
        <w:gridCol w:w="3398"/>
        <w:gridCol w:w="554"/>
        <w:gridCol w:w="220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bookmarkStart w:id="0" w:name="_Hlk55638375"/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pStyle w:val="Ttulo1"/>
              <w:jc w:val="center"/>
              <w:rPr>
                <w:rFonts w:ascii="Arial" w:hAnsi="Arial" w:cs="Arial"/>
                <w:sz w:val="36"/>
                <w:szCs w:val="36"/>
                <w:lang w:val="es-ES"/>
              </w:rPr>
            </w:pPr>
            <w:r>
              <w:rPr>
                <w:rFonts w:ascii="Arial" w:hAnsi="Arial" w:cs="Arial"/>
                <w:sz w:val="36"/>
                <w:szCs w:val="36"/>
                <w:lang w:val="es-ES"/>
              </w:rPr>
              <w:t>San José, Alajuelita, Goicoechea y 8 cantones más bajan a alerta amarilla</w:t>
            </w:r>
          </w:p>
          <w:p w:rsidR="00000000" w:rsidRDefault="00301785">
            <w:pPr>
              <w:rPr>
                <w:lang w:val="es-ES"/>
              </w:rPr>
            </w:pPr>
          </w:p>
          <w:p w:rsidR="00000000" w:rsidRDefault="00301785">
            <w:pPr>
              <w:jc w:val="center"/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7211695" cy="5574030"/>
                  <wp:effectExtent l="0" t="0" r="8255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695" cy="557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017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pStyle w:val="Prrafodelista"/>
              <w:numPr>
                <w:ilvl w:val="0"/>
                <w:numId w:val="2"/>
              </w:numPr>
              <w:spacing w:after="0" w:line="276" w:lineRule="auto"/>
              <w:jc w:val="both"/>
              <w:rPr>
                <w:b/>
                <w:bCs/>
                <w:iCs/>
                <w:lang w:val="es-ES"/>
              </w:rPr>
            </w:pPr>
            <w:r>
              <w:rPr>
                <w:b/>
                <w:bCs/>
                <w:iCs/>
                <w:lang w:val="es-ES"/>
              </w:rPr>
              <w:t xml:space="preserve">En total 11 cantones de las provincias de San José </w:t>
            </w:r>
            <w:r>
              <w:rPr>
                <w:b/>
                <w:bCs/>
                <w:iCs/>
                <w:lang w:val="es-ES"/>
              </w:rPr>
              <w:t>(4), Alajuela (2), Cartago (1), Heredia (1), Guanacaste (1) y Puntarenas (2) mostraron una disminución en su nivel de riesgo que les permite bajar su alerta de naranja a amarilla.</w:t>
            </w:r>
          </w:p>
          <w:p w:rsidR="00000000" w:rsidRDefault="00301785">
            <w:pPr>
              <w:pStyle w:val="Prrafodelista"/>
              <w:jc w:val="both"/>
              <w:rPr>
                <w:b/>
                <w:bCs/>
                <w:iCs/>
                <w:lang w:val="es-ES"/>
              </w:rPr>
            </w:pPr>
          </w:p>
          <w:p w:rsidR="00000000" w:rsidRDefault="00301785">
            <w:pPr>
              <w:pStyle w:val="Prrafodelista"/>
              <w:numPr>
                <w:ilvl w:val="0"/>
                <w:numId w:val="2"/>
              </w:numPr>
              <w:spacing w:after="0" w:line="276" w:lineRule="auto"/>
              <w:jc w:val="both"/>
              <w:rPr>
                <w:b/>
                <w:bCs/>
                <w:iCs/>
                <w:lang w:val="es-ES"/>
              </w:rPr>
            </w:pPr>
            <w:r>
              <w:rPr>
                <w:b/>
                <w:bCs/>
                <w:iCs/>
                <w:lang w:val="es-ES"/>
              </w:rPr>
              <w:t>Los cantones de San José y Alajuelita salen de la alerta naranja después de</w:t>
            </w:r>
            <w:r>
              <w:rPr>
                <w:b/>
                <w:bCs/>
                <w:iCs/>
                <w:lang w:val="es-ES"/>
              </w:rPr>
              <w:t xml:space="preserve"> 23 semanas en esta condición. </w:t>
            </w:r>
          </w:p>
          <w:p w:rsidR="00000000" w:rsidRDefault="00301785">
            <w:pPr>
              <w:pStyle w:val="Prrafodelista"/>
              <w:jc w:val="both"/>
              <w:rPr>
                <w:b/>
                <w:bCs/>
                <w:iCs/>
                <w:lang w:val="es-ES"/>
              </w:rPr>
            </w:pPr>
          </w:p>
          <w:p w:rsidR="00000000" w:rsidRDefault="00301785">
            <w:pPr>
              <w:pStyle w:val="Prrafodelista"/>
              <w:numPr>
                <w:ilvl w:val="0"/>
                <w:numId w:val="2"/>
              </w:numPr>
              <w:spacing w:after="0" w:line="276" w:lineRule="auto"/>
              <w:jc w:val="both"/>
              <w:rPr>
                <w:b/>
                <w:bCs/>
                <w:iCs/>
                <w:lang w:val="es-ES"/>
              </w:rPr>
            </w:pPr>
            <w:r>
              <w:rPr>
                <w:b/>
                <w:bCs/>
                <w:iCs/>
                <w:lang w:val="es-ES"/>
              </w:rPr>
              <w:t>La provincia de Cartago ya no cuenta con cantones en Alerta Naranja, y en el caso de San José, solamente el cantón de Santa Ana se encuentra en esta categoría.</w:t>
            </w:r>
          </w:p>
          <w:p w:rsidR="00000000" w:rsidRDefault="00301785">
            <w:pPr>
              <w:jc w:val="both"/>
              <w:rPr>
                <w:b/>
                <w:bCs/>
                <w:iCs/>
                <w:lang w:val="es-ES"/>
              </w:rPr>
            </w:pPr>
          </w:p>
          <w:p w:rsidR="00000000" w:rsidRDefault="00301785">
            <w:pPr>
              <w:pStyle w:val="Prrafodelista"/>
              <w:numPr>
                <w:ilvl w:val="0"/>
                <w:numId w:val="2"/>
              </w:numPr>
              <w:spacing w:after="0" w:line="276" w:lineRule="auto"/>
              <w:jc w:val="both"/>
              <w:rPr>
                <w:b/>
                <w:bCs/>
                <w:iCs/>
                <w:lang w:val="es-ES"/>
              </w:rPr>
            </w:pPr>
            <w:r>
              <w:rPr>
                <w:b/>
                <w:bCs/>
                <w:iCs/>
                <w:lang w:val="es-ES"/>
              </w:rPr>
              <w:t>El 83% de los cantones en alerta naranja está fuera de la GAM.</w:t>
            </w:r>
          </w:p>
          <w:p w:rsidR="00000000" w:rsidRDefault="00301785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i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San José, 17 de noviembre de 2020.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Los cantones de San José, Alajuelita, Mora, Goicoechea, Naranjo, Sarchí, Oreamuno, Heredia, Santa Cruz, Parrita y Quepos pasarán de alerta naranja a alerta amarilla a partir de este miércoles 18 de noviembre. Lo anterio</w:t>
            </w:r>
            <w:r>
              <w:rPr>
                <w:rFonts w:ascii="Arial" w:hAnsi="Arial" w:cs="Arial"/>
                <w:sz w:val="24"/>
                <w:szCs w:val="24"/>
              </w:rPr>
              <w:t>r como resultado de la disminución del riesgo en estos lugares, y del número de nuevos contagios durante octubre y los primeros días de noviembre.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 acuerdo </w:t>
            </w:r>
            <w:r>
              <w:rPr>
                <w:rFonts w:ascii="Arial" w:hAnsi="Arial" w:cs="Arial"/>
                <w:sz w:val="24"/>
                <w:szCs w:val="24"/>
              </w:rPr>
              <w:t xml:space="preserve">con los datos del Índice de Riesgo Cantonal (IRC) analizados por la Sala de Situación Nacional, para esta semana la Comisión Nacional de Prevención de Riesgos y Atención de Emergencias (CNE) disminuyó el nivel de alerta para estos cantones. Esta situación </w:t>
            </w:r>
            <w:r>
              <w:rPr>
                <w:rFonts w:ascii="Arial" w:hAnsi="Arial" w:cs="Arial"/>
                <w:sz w:val="24"/>
                <w:szCs w:val="24"/>
              </w:rPr>
              <w:t>se mantendrá al menos por 15 días, cuando se emita una nueva actualización.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 los casos que bajaron su nivel de riesgo destacan Alajuelita y San José, los cuales se mantuvieron en alerta naranja por 23 y 19 semanas, respectivamente. Ambos presentan un</w:t>
            </w:r>
            <w:r>
              <w:rPr>
                <w:rFonts w:ascii="Arial" w:hAnsi="Arial" w:cs="Arial"/>
                <w:sz w:val="24"/>
                <w:szCs w:val="24"/>
              </w:rPr>
              <w:t>a tendencia a la baja en el número de contagios, San José ha logrado disminuir los casos de más de 900 contagios semanales a menos de 600 en el último registro. Situación similar sucede en Alajuelita que en el mismo plazo pasó de 270 a 150 registros semana</w:t>
            </w:r>
            <w:r>
              <w:rPr>
                <w:rFonts w:ascii="Arial" w:hAnsi="Arial" w:cs="Arial"/>
                <w:sz w:val="24"/>
                <w:szCs w:val="24"/>
              </w:rPr>
              <w:t>les mientras que Goicoechea disminuyó de 250 a 120.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igual forma, los cantones de Mora, Naranjo, Sarchí, Oreamuno, Heredia y Quepos disminuyeron sus niveles de contagio y recuperaron la situación de alerta amarilla que tuvieron en diferente medida duran</w:t>
            </w:r>
            <w:r>
              <w:rPr>
                <w:rFonts w:ascii="Arial" w:hAnsi="Arial" w:cs="Arial"/>
                <w:sz w:val="24"/>
                <w:szCs w:val="24"/>
              </w:rPr>
              <w:t>te octubre.</w:t>
            </w:r>
          </w:p>
          <w:p w:rsidR="00000000" w:rsidRDefault="003017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742430" cy="5208270"/>
                  <wp:effectExtent l="0" t="0" r="1270" b="0"/>
                  <wp:docPr id="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430" cy="520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Santa Cruz y Parrita son los casos más específicos, ya que después de tener poco contagio durante la pandemia, cada uno presentó un clúster que llevó a los cantones a sus picos de nuevos positivos. Sin embargo, el aislamiento debido y el seg</w:t>
            </w:r>
            <w:r>
              <w:rPr>
                <w:rFonts w:ascii="Arial" w:hAnsi="Arial" w:cs="Arial"/>
                <w:sz w:val="24"/>
                <w:szCs w:val="24"/>
              </w:rPr>
              <w:t>uimiento de los nexos epidemiológicos les permitió disminuir sus números a rangos incluso más bajos que antes de estas situaciones.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Actualmente, la provincia de Cartago ya no cuenta con cantones en alerta naranja, y en el caso de San José, solamente el ca</w:t>
            </w:r>
            <w:r>
              <w:rPr>
                <w:rFonts w:ascii="Arial" w:hAnsi="Arial" w:cs="Arial"/>
                <w:sz w:val="24"/>
                <w:szCs w:val="24"/>
              </w:rPr>
              <w:t xml:space="preserve">ntón de Santa Ana se encuentra en esta categoría. 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“La organización comunitaria bajo la tutela de los comités municipales de emergencia y la rápida acción de las instituciones del Sistema Nacional de Gestión del Riesgo ha permitido que empecemos a notar u</w:t>
            </w:r>
            <w:r>
              <w:rPr>
                <w:rFonts w:ascii="Arial" w:hAnsi="Arial" w:cs="Arial"/>
                <w:sz w:val="24"/>
                <w:szCs w:val="24"/>
              </w:rPr>
              <w:t>na disminución de casos nuevos en varios cantones del país, ahora bien, hay que continuar siendo estrictos en las medidas para evitar más contagios y por ende una variación de alertas”, indicó Solís.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Seis cantones suben a alerta naranja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Luego de revisar </w:t>
            </w:r>
            <w:r>
              <w:rPr>
                <w:rFonts w:ascii="Arial" w:hAnsi="Arial" w:cs="Arial"/>
                <w:sz w:val="24"/>
                <w:szCs w:val="24"/>
              </w:rPr>
              <w:t>exhaustivamente la valoración de la semana epidemiológica #46, se determinó que los cantones de Guatuso, Orotina, Poás, Sarapiquí, Abangares y Esparza subieron de alerta amarilla a naranja al mostrar una tendencia al aumento de nuevos positivos en las últi</w:t>
            </w:r>
            <w:r>
              <w:rPr>
                <w:rFonts w:ascii="Arial" w:hAnsi="Arial" w:cs="Arial"/>
                <w:sz w:val="24"/>
                <w:szCs w:val="24"/>
              </w:rPr>
              <w:t xml:space="preserve">mas tres semanas epidemiológicas. 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ingreso de estos seis casos a esta condición, hace que la suma de cantones fuera de la Gran Área Metropolitana en alerta naranja sea de 15, un 83% del total en esta condición de riesgo. Actualmente Santa Ana, Alajuela</w:t>
            </w:r>
            <w:r>
              <w:rPr>
                <w:rFonts w:ascii="Arial" w:hAnsi="Arial" w:cs="Arial"/>
                <w:sz w:val="24"/>
                <w:szCs w:val="24"/>
              </w:rPr>
              <w:t xml:space="preserve"> y Flores son los únicos cantones naranja en la GAM.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total, 18 cantones permanecen en alerta naranja, mientras que 64 cuentan con alerta amarilla.</w:t>
            </w:r>
          </w:p>
          <w:p w:rsidR="00000000" w:rsidRDefault="003017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631305" cy="3140710"/>
                  <wp:effectExtent l="0" t="0" r="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305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Pueden visitar el sitio </w:t>
            </w:r>
            <w:hyperlink r:id="rId10" w:history="1">
              <w:r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http://presidencia.go.cr/alert</w:t>
              </w:r>
              <w:r>
                <w:rPr>
                  <w:rStyle w:val="Hipervnculo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as</w:t>
              </w:r>
            </w:hyperlink>
            <w:r>
              <w:rPr>
                <w:rFonts w:ascii="Arial" w:hAnsi="Arial" w:cs="Arial"/>
                <w:b/>
                <w:bCs/>
                <w:sz w:val="24"/>
                <w:szCs w:val="24"/>
              </w:rPr>
              <w:t> para conocer las alertas, medidas y restricciones implementadas en su cantón.  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Alertas tempranas por síntomas respiratorios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esta semana, 77 distritos en 33 cantones en condición amarilla presentan una alerta temprana (alerta sindrómica), por un i</w:t>
            </w:r>
            <w:r>
              <w:rPr>
                <w:rFonts w:ascii="Arial" w:hAnsi="Arial" w:cs="Arial"/>
                <w:sz w:val="24"/>
                <w:szCs w:val="24"/>
              </w:rPr>
              <w:t>ncremento en las consultas médicas por tos y fiebre, indicador para advertir sobre un eventual aumento en el número de casos por COVID-19. La CNE recuerda que ante cualquier síntoma deberá apegarse a los protocolos establecidos y acudir a un centro médico.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Costa Rica avanza en el Modelo de Gestión Compartida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trabajos articulados para preparar a las comunidades continúan gracias al liderazgo </w:t>
            </w:r>
            <w:r>
              <w:rPr>
                <w:rFonts w:ascii="Arial" w:hAnsi="Arial" w:cs="Arial"/>
                <w:sz w:val="24"/>
                <w:szCs w:val="24"/>
              </w:rPr>
              <w:t>y participación que han tomado los Comités Municipales de Emergencia y los Gobierno Locales. “En estos momentos, cada cantón trabaja en propiciar condiciones adecuadas para una apertura comercial controlada y para tener una nueva normalidad mucho más segur</w:t>
            </w:r>
            <w:r>
              <w:rPr>
                <w:rFonts w:ascii="Arial" w:hAnsi="Arial" w:cs="Arial"/>
                <w:sz w:val="24"/>
                <w:szCs w:val="24"/>
              </w:rPr>
              <w:t xml:space="preserve">a para los habitantes en especial para quienes tienen factores de riesgo”, añadió el jerarca de la CNE, Alexander Solís. </w:t>
            </w: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la más reciente autoevaluación voluntaria, 80 cantones mostraron como se estaban organizando alrededor del Plan Cantonal de Preven</w:t>
            </w:r>
            <w:r>
              <w:rPr>
                <w:rFonts w:ascii="Arial" w:hAnsi="Arial" w:cs="Arial"/>
                <w:sz w:val="24"/>
                <w:szCs w:val="24"/>
              </w:rPr>
              <w:t>ción del COVID-19. Y se espera que para finales del mes de noviembre se realice una nueva evaluación para determinar sus avances en la planificación y el trabajo comunitario de cara a los nuevos retos que esta emergencia genere.</w:t>
            </w:r>
          </w:p>
          <w:p w:rsidR="00000000" w:rsidRDefault="00301785">
            <w:pPr>
              <w:jc w:val="both"/>
              <w:rPr>
                <w:color w:val="000000" w:themeColor="text1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3017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01785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bookmarkEnd w:id="0"/>
    </w:tbl>
    <w:p w:rsidR="00000000" w:rsidRDefault="00301785">
      <w:pPr>
        <w:rPr>
          <w:rFonts w:ascii="Arial" w:hAnsi="Arial" w:cs="Arial"/>
          <w:bCs/>
          <w:sz w:val="24"/>
          <w:szCs w:val="24"/>
          <w:lang w:val="es-ES"/>
        </w:rPr>
      </w:pPr>
    </w:p>
    <w:p w:rsidR="00000000" w:rsidRDefault="00301785">
      <w:pPr>
        <w:rPr>
          <w:rFonts w:ascii="Arial" w:hAnsi="Arial" w:cs="Arial"/>
          <w:bCs/>
          <w:sz w:val="24"/>
          <w:szCs w:val="24"/>
          <w:lang w:val="es-ES"/>
        </w:rPr>
      </w:pPr>
    </w:p>
    <w:p w:rsidR="00000000" w:rsidRDefault="00301785">
      <w:pPr>
        <w:rPr>
          <w:rFonts w:ascii="Arial" w:hAnsi="Arial" w:cs="Arial"/>
          <w:bCs/>
          <w:sz w:val="24"/>
          <w:szCs w:val="24"/>
          <w:lang w:val="es-ES"/>
        </w:rPr>
      </w:pPr>
    </w:p>
    <w:p w:rsidR="00000000" w:rsidRDefault="00301785">
      <w:pPr>
        <w:rPr>
          <w:lang w:val="es-ES"/>
        </w:rPr>
      </w:pPr>
    </w:p>
    <w:sectPr w:rsidR="00000000">
      <w:headerReference w:type="default" r:id="rId11"/>
      <w:pgSz w:w="11907" w:h="16839"/>
      <w:pgMar w:top="1134" w:right="1134" w:bottom="1134" w:left="1134" w:header="426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301785">
      <w:pPr>
        <w:spacing w:after="0" w:line="240" w:lineRule="auto"/>
      </w:pPr>
      <w:r>
        <w:separator/>
      </w:r>
    </w:p>
  </w:endnote>
  <w:endnote w:type="continuationSeparator" w:id="0">
    <w:p w:rsidR="00000000" w:rsidRDefault="00301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301785">
      <w:pPr>
        <w:spacing w:after="0" w:line="240" w:lineRule="auto"/>
      </w:pPr>
      <w:r>
        <w:separator/>
      </w:r>
    </w:p>
  </w:footnote>
  <w:footnote w:type="continuationSeparator" w:id="0">
    <w:p w:rsidR="00000000" w:rsidRDefault="00301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301785">
    <w:pPr>
      <w:pStyle w:val="Encabezado"/>
      <w:ind w:left="2124" w:right="618"/>
      <w:jc w:val="right"/>
      <w:rPr>
        <w:rFonts w:ascii="Times New Roman" w:hAnsi="Times New Roman" w:cs="Times New Roman"/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44E7A"/>
    <w:multiLevelType w:val="hybridMultilevel"/>
    <w:tmpl w:val="D1346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87629">
    <w:abstractNumId w:val="0"/>
  </w:num>
  <w:num w:numId="2" w16cid:durableId="90907420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785"/>
    <w:rsid w:val="0030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Pr>
      <w:sz w:val="22"/>
      <w:szCs w:val="22"/>
      <w:lang w:val="es-CR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presidencia.go.cr/alerta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813</Words>
  <Characters>4473</Characters>
  <Application>Microsoft Office Word</Application>
  <DocSecurity>0</DocSecurity>
  <Lines>37</Lines>
  <Paragraphs>10</Paragraphs>
  <ScaleCrop>false</ScaleCrop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2022-05-13T19:53:00Z</dcterms:created>
  <dcterms:modified xsi:type="dcterms:W3CDTF">2022-05-13T19:53:00Z</dcterms:modified>
</cp:coreProperties>
</file>