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199"/>
        <w:gridCol w:w="3391"/>
        <w:gridCol w:w="3352"/>
        <w:gridCol w:w="526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pStyle w:val="Ttulo1"/>
              <w:jc w:val="center"/>
              <w:rPr>
                <w:color w:val="auto"/>
              </w:rPr>
            </w:pPr>
            <w:r>
              <w:t>Seis cantones logran bajar a alerta amarilla</w:t>
            </w:r>
          </w:p>
          <w:p w:rsidR="00000000" w:rsidRDefault="007C7BC6">
            <w:pPr>
              <w:pStyle w:val="Ttulo1"/>
              <w:jc w:val="center"/>
              <w:outlineLvl w:val="0"/>
            </w:pPr>
            <w:r>
              <w:t>por disminución en sus casos</w:t>
            </w:r>
          </w:p>
          <w:p w:rsidR="00000000" w:rsidRDefault="007C7B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000" w:rsidRDefault="007C7B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 trata de tres cantones en la provincia de San José, uno en Puntarenas, en Guanacaste y Alajuela.</w:t>
            </w:r>
          </w:p>
          <w:p w:rsidR="00000000" w:rsidRDefault="007C7B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00000" w:rsidRDefault="007C7B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 autoevaluación del modelo de gestión compartida “Costa Rica Trabaja y se cuida” permitió que 60 Comités Municipales de Emergencias cuenten con la autoevaluación de las condiciones de su gobierno local.</w:t>
            </w:r>
          </w:p>
          <w:p w:rsidR="00000000" w:rsidRDefault="007C7B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000" w:rsidRDefault="007C7BC6">
            <w:pPr>
              <w:spacing w:line="240" w:lineRule="auto"/>
              <w:ind w:left="144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00000" w:rsidRDefault="007C7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Una mejora en su evolución epidemiológica pe</w:t>
            </w:r>
            <w:r>
              <w:rPr>
                <w:sz w:val="24"/>
                <w:szCs w:val="24"/>
              </w:rPr>
              <w:t>rmitió que l</w:t>
            </w:r>
            <w:r>
              <w:rPr>
                <w:color w:val="000000"/>
                <w:sz w:val="24"/>
                <w:szCs w:val="24"/>
              </w:rPr>
              <w:t>os cantones de Desamparados, Goicoechea y Tibás en San José, Esparza en Puntarenas, Hojancha en Guanacaste y Río Cuarto en Alajuela bajarán de alerta naranja a alerta amarilla.</w:t>
            </w:r>
          </w:p>
          <w:p w:rsidR="00000000" w:rsidRDefault="007C7BC6">
            <w:pPr>
              <w:jc w:val="center"/>
              <w:rPr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Así lo dio a conocer Alexander Solís, presidente de la Comisión Na</w:t>
            </w:r>
            <w:r>
              <w:rPr>
                <w:sz w:val="24"/>
                <w:szCs w:val="24"/>
              </w:rPr>
              <w:t>cional de Prevención de Riesgos y Atención de Emergencias (CNE), durante la conferencia de prensa, quien señaló la importancia de continuar con la implementación del modelo de gestión “Costa Rica trabaja y se cuida” en los territorios, lo cual permitirá la</w:t>
            </w:r>
            <w:r>
              <w:rPr>
                <w:sz w:val="24"/>
                <w:szCs w:val="24"/>
              </w:rPr>
              <w:t xml:space="preserve"> mejora continua de los planes y con ella la apertura controlada en las comunidades.</w:t>
            </w:r>
          </w:p>
          <w:p w:rsidR="00000000" w:rsidRDefault="007C7BC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tblBorders>
              <w:tblLook w:val="04A0" w:firstRow="1" w:lastRow="0" w:firstColumn="1" w:lastColumn="0" w:noHBand="0" w:noVBand="1"/>
              <w:tblCaption w:val="HERMESIGNORETABLETOGRID"/>
            </w:tblPr>
            <w:tblGrid>
              <w:gridCol w:w="8242"/>
            </w:tblGrid>
            <w:tr w:rsidR="00000000">
              <w:trPr>
                <w:jc w:val="center"/>
              </w:trPr>
              <w:tc>
                <w:tcPr>
                  <w:tcW w:w="8251" w:type="dxa"/>
                  <w:tcBorders>
                    <w:top w:val="dashed" w:sz="4" w:space="0" w:color="FF0000"/>
                    <w:left w:val="dashed" w:sz="4" w:space="0" w:color="FF0000"/>
                    <w:bottom w:val="nil"/>
                    <w:right w:val="dashed" w:sz="4" w:space="0" w:color="FF0000"/>
                  </w:tcBorders>
                  <w:shd w:val="clear" w:color="auto" w:fill="CCCCCC"/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p w:rsidR="00000000" w:rsidRDefault="007C7B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Cuadro de datos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25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tbl>
                  <w:tblPr>
                    <w:tblStyle w:val="Tablaconcuadrcula"/>
                    <w:tblpPr w:leftFromText="141" w:rightFromText="141" w:vertAnchor="text" w:horzAnchor="margin" w:tblpXSpec="center" w:tblpY="-126"/>
                    <w:tblOverlap w:val="never"/>
                    <w:tblW w:w="9135" w:type="dxa"/>
                    <w:tblInd w:w="0" w:type="dxa"/>
                    <w:tblLook w:val="0400" w:firstRow="0" w:lastRow="0" w:firstColumn="0" w:lastColumn="0" w:noHBand="0" w:noVBand="1"/>
                  </w:tblPr>
                  <w:tblGrid>
                    <w:gridCol w:w="1982"/>
                    <w:gridCol w:w="3437"/>
                    <w:gridCol w:w="3716"/>
                  </w:tblGrid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Cantón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Plan Local de Prevención por COVID-19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Establecimientos habilitados</w:t>
                        </w:r>
                      </w:p>
                    </w:tc>
                  </w:tr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Desamparados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Reapertura controlada + pueden abrir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parques públicos abiertos</w:t>
                        </w:r>
                      </w:p>
                    </w:tc>
                  </w:tr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Esparza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Reapertura controlada + pueden abrir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parques públicos abiertos</w:t>
                        </w:r>
                      </w:p>
                    </w:tc>
                  </w:tr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Goicoechea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menor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Hojancha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Reapertura controlada + pueden abrir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parques públicos abiertos</w:t>
                        </w:r>
                      </w:p>
                    </w:tc>
                  </w:tr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Tibás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 realizó la autoevaluación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  <w:tr w:rsidR="00000000"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Río Cuarto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 realizó la autoevaluación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</w:tbl>
                <w:p w:rsidR="00000000" w:rsidRDefault="007C7B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7C7BC6">
            <w:pPr>
              <w:jc w:val="center"/>
              <w:rPr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otro lado, indicó que Cañas, Oreamuno, San Carlos, San Isidro y Vázquez de Coronado </w:t>
            </w:r>
            <w:r>
              <w:rPr>
                <w:color w:val="000000"/>
                <w:sz w:val="24"/>
                <w:szCs w:val="24"/>
              </w:rPr>
              <w:t>han registrado un aumento en sus casos, por lo que las instituciones de salud, en el marco de la Sala de Análisis de Situación Nacional,</w:t>
            </w:r>
            <w:r>
              <w:rPr>
                <w:sz w:val="24"/>
                <w:szCs w:val="24"/>
              </w:rPr>
              <w:t xml:space="preserve"> hicieron un reajuste en la cond</w:t>
            </w:r>
            <w:r>
              <w:rPr>
                <w:sz w:val="24"/>
                <w:szCs w:val="24"/>
              </w:rPr>
              <w:t>ición de alerta subiéndolos de amarilla a alerta naranja.</w:t>
            </w:r>
          </w:p>
          <w:tbl>
            <w:tblPr>
              <w:tblW w:w="0" w:type="auto"/>
              <w:jc w:val="center"/>
              <w:tblBorders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tblBorders>
              <w:tblLook w:val="04A0" w:firstRow="1" w:lastRow="0" w:firstColumn="1" w:lastColumn="0" w:noHBand="0" w:noVBand="1"/>
              <w:tblCaption w:val="HERMESIGNORETABLETOGRID"/>
            </w:tblPr>
            <w:tblGrid>
              <w:gridCol w:w="8242"/>
            </w:tblGrid>
            <w:tr w:rsidR="00000000">
              <w:trPr>
                <w:jc w:val="center"/>
              </w:trPr>
              <w:tc>
                <w:tcPr>
                  <w:tcW w:w="8251" w:type="dxa"/>
                  <w:tcBorders>
                    <w:top w:val="dashed" w:sz="4" w:space="0" w:color="FF0000"/>
                    <w:left w:val="dashed" w:sz="4" w:space="0" w:color="FF0000"/>
                    <w:bottom w:val="nil"/>
                    <w:right w:val="dashed" w:sz="4" w:space="0" w:color="FF0000"/>
                  </w:tcBorders>
                  <w:shd w:val="clear" w:color="auto" w:fill="CCCCCC"/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p w:rsidR="00000000" w:rsidRDefault="007C7B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Cuadro de datos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25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tbl>
                  <w:tblPr>
                    <w:tblStyle w:val="Tablaconcuadrcula"/>
                    <w:tblpPr w:leftFromText="141" w:rightFromText="141" w:vertAnchor="text" w:horzAnchor="margin" w:tblpXSpec="center" w:tblpY="-96"/>
                    <w:tblOverlap w:val="never"/>
                    <w:tblW w:w="9135" w:type="dxa"/>
                    <w:tblInd w:w="0" w:type="dxa"/>
                    <w:tblLook w:val="0400" w:firstRow="0" w:lastRow="0" w:firstColumn="0" w:lastColumn="0" w:noHBand="0" w:noVBand="1"/>
                  </w:tblPr>
                  <w:tblGrid>
                    <w:gridCol w:w="1703"/>
                    <w:gridCol w:w="3716"/>
                    <w:gridCol w:w="3716"/>
                  </w:tblGrid>
                  <w:tr w:rsidR="00000000"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Cantón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Plan Local de Prevención por COVID-19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Establecimientos habilitados</w:t>
                        </w:r>
                      </w:p>
                    </w:tc>
                  </w:tr>
                  <w:tr w:rsidR="00000000"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Cañas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  <w:tr w:rsidR="00000000"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Oreamuno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 realizó la autoevaluación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Solo actividades esenciales</w:t>
                        </w:r>
                      </w:p>
                    </w:tc>
                  </w:tr>
                  <w:tr w:rsidR="00000000"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San Carlos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  <w:tr w:rsidR="00000000"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San Isidro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  <w:tr w:rsidR="00000000"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Vázquez de Coronado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Autoevaluación mayor a 80%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7C7BC6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Reapertura controlada</w:t>
                        </w:r>
                      </w:p>
                    </w:tc>
                  </w:tr>
                </w:tbl>
                <w:p w:rsidR="00000000" w:rsidRDefault="007C7B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7C7BC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00000" w:rsidRDefault="007C7BC6">
            <w:pPr>
              <w:jc w:val="center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  <w:highlight w:val="white"/>
              </w:rPr>
              <w:t>Pueden visitar el sitio </w:t>
            </w:r>
            <w:hyperlink r:id="rId8" w:history="1">
              <w:r>
                <w:rPr>
                  <w:rStyle w:val="Hipervnculo"/>
                  <w:b/>
                  <w:color w:val="0843B8"/>
                  <w:sz w:val="24"/>
                  <w:szCs w:val="24"/>
                  <w:highlight w:val="white"/>
                </w:rPr>
                <w:t>http://presidencia.go.cr/alertas</w:t>
              </w:r>
            </w:hyperlink>
            <w:r>
              <w:rPr>
                <w:color w:val="202020"/>
                <w:sz w:val="24"/>
                <w:szCs w:val="24"/>
                <w:highlight w:val="white"/>
              </w:rPr>
              <w:t> para conocer las alertas, medidas y restricciones implementadas en su cantón.</w:t>
            </w:r>
          </w:p>
          <w:p w:rsidR="00000000" w:rsidRDefault="007C7BC6">
            <w:pPr>
              <w:jc w:val="center"/>
              <w:rPr>
                <w:color w:val="202020"/>
                <w:sz w:val="24"/>
                <w:szCs w:val="24"/>
              </w:rPr>
            </w:pPr>
            <w:r>
              <w:rPr>
                <w:noProof/>
                <w:color w:val="202020"/>
                <w:sz w:val="24"/>
                <w:szCs w:val="24"/>
              </w:rPr>
              <w:drawing>
                <wp:inline distT="0" distB="0" distL="0" distR="0">
                  <wp:extent cx="5057140" cy="3912235"/>
                  <wp:effectExtent l="0" t="0" r="0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140" cy="391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7B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168265" cy="3999230"/>
                  <wp:effectExtent l="0" t="0" r="0" b="127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265" cy="399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04765" cy="4070985"/>
                  <wp:effectExtent l="0" t="0" r="63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765" cy="407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 los cambios </w:t>
            </w:r>
            <w:r>
              <w:rPr>
                <w:sz w:val="24"/>
                <w:szCs w:val="24"/>
              </w:rPr>
              <w:t xml:space="preserve">indicados, los cantones que se encuentran en condición de </w:t>
            </w:r>
            <w:r>
              <w:rPr>
                <w:b/>
                <w:sz w:val="24"/>
                <w:szCs w:val="24"/>
              </w:rPr>
              <w:t>alerta naranja</w:t>
            </w:r>
            <w:r>
              <w:rPr>
                <w:sz w:val="24"/>
                <w:szCs w:val="24"/>
              </w:rPr>
              <w:t xml:space="preserve"> son:</w:t>
            </w:r>
          </w:p>
          <w:tbl>
            <w:tblPr>
              <w:tblW w:w="0" w:type="auto"/>
              <w:jc w:val="center"/>
              <w:tblBorders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tblBorders>
              <w:tblLook w:val="04A0" w:firstRow="1" w:lastRow="0" w:firstColumn="1" w:lastColumn="0" w:noHBand="0" w:noVBand="1"/>
              <w:tblCaption w:val="HERMESIGNORETABLETOGRID"/>
            </w:tblPr>
            <w:tblGrid>
              <w:gridCol w:w="8242"/>
            </w:tblGrid>
            <w:tr w:rsidR="00000000">
              <w:trPr>
                <w:jc w:val="center"/>
              </w:trPr>
              <w:tc>
                <w:tcPr>
                  <w:tcW w:w="8251" w:type="dxa"/>
                  <w:tcBorders>
                    <w:top w:val="dashed" w:sz="4" w:space="0" w:color="FF0000"/>
                    <w:left w:val="dashed" w:sz="4" w:space="0" w:color="FF0000"/>
                    <w:bottom w:val="nil"/>
                    <w:right w:val="dashed" w:sz="4" w:space="0" w:color="FF0000"/>
                  </w:tcBorders>
                  <w:shd w:val="clear" w:color="auto" w:fill="CCCCCC"/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p w:rsidR="00000000" w:rsidRDefault="007C7B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Cuadro de datos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25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tbl>
                  <w:tblPr>
                    <w:tblpPr w:leftFromText="141" w:rightFromText="141" w:vertAnchor="text" w:horzAnchor="margin" w:tblpXSpec="center" w:tblpY="-52"/>
                    <w:tblOverlap w:val="never"/>
                    <w:tblW w:w="93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00" w:firstRow="0" w:lastRow="0" w:firstColumn="0" w:lastColumn="0" w:noHBand="0" w:noVBand="1"/>
                  </w:tblPr>
                  <w:tblGrid>
                    <w:gridCol w:w="1702"/>
                    <w:gridCol w:w="7673"/>
                  </w:tblGrid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PROVINCIA</w:t>
                        </w:r>
                        <w:bookmarkStart w:id="0" w:name="_heading=h.gjdgxs"/>
                        <w:bookmarkEnd w:id="0"/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CANTONES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San José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San José, Santa Ana, Alajuelita, Curridabat y Vázquez de Coronado.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Alajuela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Alajuela (salvo distrito de </w:t>
                        </w:r>
                        <w:r>
                          <w:rPr>
                            <w:sz w:val="24"/>
                            <w:szCs w:val="24"/>
                          </w:rPr>
                          <w:t>Sarapiquí) y San Carlos.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Cartago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Oreamuno.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Heredia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Heredia (salvo distrito Varablanca), Santo Domingo, San Isidro.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Puntarenas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Montes de Oro, Garabito y distritos de Puntarenas centro, Barranca, Chacarita, y El Roble.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Limón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Limón, Matina, Talamanca.</w:t>
                        </w:r>
                      </w:p>
                    </w:tc>
                  </w:tr>
                  <w:tr w:rsidR="00000000"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36C09"/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anacaste</w:t>
                        </w:r>
                      </w:p>
                    </w:tc>
                    <w:tc>
                      <w:tcPr>
                        <w:tcW w:w="7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0000" w:rsidRDefault="007C7BC6">
                        <w:pPr>
                          <w:spacing w:before="120"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Cañas</w:t>
                        </w:r>
                      </w:p>
                    </w:tc>
                  </w:tr>
                </w:tbl>
                <w:p w:rsidR="00000000" w:rsidRDefault="007C7B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7C7BC6">
            <w:pPr>
              <w:jc w:val="center"/>
              <w:rPr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000000" w:rsidRDefault="007C7B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122670" cy="3569970"/>
                  <wp:effectExtent l="0" t="0" r="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5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7B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122670" cy="381635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81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7B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Alertas tempranas por síntomas respiratorios</w:t>
            </w:r>
          </w:p>
          <w:p w:rsidR="00000000" w:rsidRDefault="007C7B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7C7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Actualmente 83 distritos de 37 cantones mantienen el riesgo debido a un incremento en las consultas por tos y fiebre, lo cual aumenta el </w:t>
            </w:r>
            <w:r>
              <w:rPr>
                <w:color w:val="000000"/>
                <w:sz w:val="24"/>
                <w:szCs w:val="24"/>
              </w:rPr>
              <w:t>riesgo de enfrentar una alerta naranja próximamente, dado que son síntomas asociados al COVID-19.</w:t>
            </w:r>
          </w:p>
          <w:p w:rsidR="00000000" w:rsidRDefault="007C7BC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BC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7C7BC6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4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C7BC6">
      <w:pPr>
        <w:spacing w:after="0" w:line="240" w:lineRule="auto"/>
      </w:pPr>
      <w:r>
        <w:separator/>
      </w:r>
    </w:p>
  </w:endnote>
  <w:endnote w:type="continuationSeparator" w:id="0">
    <w:p w:rsidR="00000000" w:rsidRDefault="007C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C7BC6">
      <w:pPr>
        <w:spacing w:after="0" w:line="240" w:lineRule="auto"/>
      </w:pPr>
      <w:r>
        <w:separator/>
      </w:r>
    </w:p>
  </w:footnote>
  <w:footnote w:type="continuationSeparator" w:id="0">
    <w:p w:rsidR="00000000" w:rsidRDefault="007C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C7BC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77889"/>
    <w:multiLevelType w:val="multilevel"/>
    <w:tmpl w:val="D57485A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15397962">
    <w:abstractNumId w:val="0"/>
  </w:num>
  <w:num w:numId="2" w16cid:durableId="998728053">
    <w:abstractNumId w:val="0"/>
  </w:num>
  <w:num w:numId="3" w16cid:durableId="312492546">
    <w:abstractNumId w:val="0"/>
    <w:lvlOverride w:ilvl="0"/>
  </w:num>
  <w:num w:numId="4" w16cid:durableId="1791050113">
    <w:abstractNumId w:val="1"/>
  </w:num>
  <w:num w:numId="5" w16cid:durableId="7954890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6"/>
    <w:rsid w:val="007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cia.go.cr/alertas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2022-05-13T19:54:00Z</dcterms:created>
  <dcterms:modified xsi:type="dcterms:W3CDTF">2022-05-13T19:54:00Z</dcterms:modified>
</cp:coreProperties>
</file>