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8"/>
        <w:gridCol w:w="2972"/>
        <w:gridCol w:w="2938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1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1A9">
            <w:pPr>
              <w:pStyle w:val="Ttulo1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18 cantones suben a alerta naranja: cifra más alta del año y segunda en la pandemia por COVID-19</w:t>
            </w:r>
          </w:p>
          <w:p w:rsidR="00000000" w:rsidRDefault="00D131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93410" cy="4341495"/>
                  <wp:effectExtent l="0" t="0" r="2540" b="1905"/>
                  <wp:docPr id="1" name="Imagen 2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83" t="16734" r="17523" b="14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10" cy="434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131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En total, 26 cantones de todas las provincias presentan alto riesgo de contagio.</w:t>
            </w:r>
          </w:p>
          <w:p w:rsidR="00000000" w:rsidRDefault="00D131A9">
            <w:pPr>
              <w:pStyle w:val="Prrafodelista"/>
              <w:spacing w:line="240" w:lineRule="auto"/>
              <w:ind w:left="567" w:right="452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00000" w:rsidRDefault="00D131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Semana anterior contabilizó 6.186 casos de COVID-19, un aumento de más del doble en dos semanas.</w:t>
            </w:r>
          </w:p>
          <w:p w:rsidR="00000000" w:rsidRDefault="00D131A9">
            <w:pPr>
              <w:pStyle w:val="Prrafodelista"/>
              <w:rPr>
                <w:rFonts w:ascii="Arial" w:hAnsi="Arial" w:cs="Arial"/>
                <w:i/>
                <w:lang w:val="es-ES"/>
              </w:rPr>
            </w:pPr>
          </w:p>
          <w:p w:rsidR="00000000" w:rsidRDefault="00D131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Ante la severa situación actual, la CNE volverá a la emisión semanal de alertas.</w:t>
            </w:r>
          </w:p>
          <w:p w:rsidR="00000000" w:rsidRDefault="00D131A9">
            <w:pPr>
              <w:pStyle w:val="Prrafodelista"/>
              <w:spacing w:line="240" w:lineRule="auto"/>
              <w:rPr>
                <w:rFonts w:ascii="Arial" w:hAnsi="Arial" w:cs="Arial"/>
                <w:i/>
                <w:lang w:val="es-ES"/>
              </w:rPr>
            </w:pPr>
          </w:p>
          <w:p w:rsidR="00000000" w:rsidRDefault="00D131A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Uno de cada tres cantones estará en alerta naranja ante el elevado riesgo de</w:t>
            </w:r>
            <w:r>
              <w:rPr>
                <w:rFonts w:ascii="Arial" w:hAnsi="Arial" w:cs="Arial"/>
                <w:i/>
                <w:lang w:val="es-ES"/>
              </w:rPr>
              <w:t xml:space="preserve"> contagio, CNE pide categóricamente a la población a cumplir medidas preventivas</w:t>
            </w:r>
          </w:p>
          <w:p w:rsidR="00000000" w:rsidRDefault="00D131A9">
            <w:pPr>
              <w:spacing w:line="276" w:lineRule="auto"/>
              <w:ind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CR"/>
              </w:rPr>
              <w:t>San José, 20 de abril del 2020</w:t>
            </w:r>
            <w:r>
              <w:rPr>
                <w:rFonts w:ascii="Arial" w:hAnsi="Arial" w:cs="Arial"/>
                <w:lang w:eastAsia="es-CR"/>
              </w:rPr>
              <w:t xml:space="preserve">. El aumento en nuevos casos COVID-19 en </w:t>
            </w:r>
            <w:r>
              <w:rPr>
                <w:rFonts w:ascii="Arial" w:hAnsi="Arial" w:cs="Arial"/>
                <w:lang w:eastAsia="es-CR"/>
              </w:rPr>
              <w:t>distintos territorios, además del incremento en las hospitalizaciones por el virus, ha llevado a las autoridades a la necesidad de elevar las alertas para 18 cantones, en su mayoría en el Gran Área Metropolitana, siendo la cifra más alta de cantones que su</w:t>
            </w:r>
            <w:r>
              <w:rPr>
                <w:rFonts w:ascii="Arial" w:hAnsi="Arial" w:cs="Arial"/>
                <w:lang w:eastAsia="es-CR"/>
              </w:rPr>
              <w:t>ben de alerta en lo que llevamos del 2021.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lastRenderedPageBreak/>
              <w:t>La CNE elevó el nivel de alerta de amarillo a naranja de 18 cantones ante el incremento del riesgo de contagio en estas localidades. Los cantones que suben de alerta son: Vázquez de Coronado, Tibás, Moravia, Curr</w:t>
            </w:r>
            <w:r>
              <w:rPr>
                <w:rFonts w:ascii="Arial" w:hAnsi="Arial" w:cs="Arial"/>
                <w:color w:val="000000"/>
                <w:lang w:eastAsia="es-CR"/>
              </w:rPr>
              <w:t>idabat, Naranjo, Palmares, Los Chiles, Guatuso, Cartago, La Unión, Jiménez, Heredia, Barva, Santo Domingo, San Rafael, Santa Cruz, Montes de Oro y Parrita.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El país se encuentra en uno de los momentos más graves de la pandemia, con una acelerada reproducci</w:t>
            </w:r>
            <w:r>
              <w:rPr>
                <w:rFonts w:ascii="Arial" w:hAnsi="Arial" w:cs="Arial"/>
                <w:color w:val="000000"/>
                <w:lang w:eastAsia="es-CR"/>
              </w:rPr>
              <w:t>ón del virus y una alta ocupación de unidades de cuidados intensivos, que superó el 93% en camas críticas este lunes. Por lo que las autoridades solicitaron a toda la población a tomar medidas en sus hogares, lugares de trabajo y en su convivencia para red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ucir la exposición al virus. 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Ante la severidad de la situación actual, la CNE comunicó que la emisión de alertas se retomará de manera semanal y no cada quince días, como estaba vigente. 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También informó que el sistema de medición del índice de riesgo c</w:t>
            </w:r>
            <w:r>
              <w:rPr>
                <w:rFonts w:ascii="Arial" w:hAnsi="Arial" w:cs="Arial"/>
                <w:color w:val="000000"/>
                <w:lang w:eastAsia="es-CR"/>
              </w:rPr>
              <w:t>antonal que categoriza las alertas por pandemia en los cantones ahora incluye la tasa de positividad y la tasa hospitalaria, además de la tasa de ataque que define cuántas personas se están enfermando por COVID-19 en un cantón en un período de tiempo deter</w:t>
            </w:r>
            <w:r>
              <w:rPr>
                <w:rFonts w:ascii="Arial" w:hAnsi="Arial" w:cs="Arial"/>
                <w:color w:val="000000"/>
                <w:lang w:eastAsia="es-CR"/>
              </w:rPr>
              <w:t>minado. De esta manera, al incluir más variables la alerta responde de mejor manera a las particularidades y a la situación de cada cantón.</w:t>
            </w:r>
          </w:p>
          <w:p w:rsidR="00000000" w:rsidRDefault="00D131A9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R"/>
              </w:rPr>
              <w:t>Dieciocho cantones a alerta naranja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 xml:space="preserve">Los cantones que más incremento de nuevos casos han registrado en las últimas </w:t>
            </w:r>
            <w:r>
              <w:rPr>
                <w:rFonts w:ascii="Arial" w:hAnsi="Arial" w:cs="Arial"/>
                <w:lang w:eastAsia="es-CR"/>
              </w:rPr>
              <w:t>dos semanas son: Santa Cruz (116%) luego de pasar de 50 enfermos a 108, Cartago (80%) subiendo un centenar de nuevos contagios, de147 a 247 y Jiménez (78%), que subió de 18 a 34 positivos por COVID-19.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lang w:eastAsia="es-CR"/>
              </w:rPr>
              <w:t>“Estamos sumamente preocupados por el aumento progres</w:t>
            </w:r>
            <w:r>
              <w:rPr>
                <w:rFonts w:ascii="Arial" w:hAnsi="Arial" w:cs="Arial"/>
                <w:lang w:eastAsia="es-CR"/>
              </w:rPr>
              <w:t xml:space="preserve">ivo de casos en todas las regiones del país. Estamos llegando a la cifra más alta de cantones que suben en una misma semana (18 en total) del 2021 y a la segunda cifra más alta de cantones </w:t>
            </w:r>
            <w:r>
              <w:rPr>
                <w:rFonts w:ascii="Arial" w:hAnsi="Arial" w:cs="Arial"/>
                <w:color w:val="000000"/>
                <w:lang w:eastAsia="es-CR"/>
              </w:rPr>
              <w:t>que elevan su riesgo en lo que llevamos de la pandemia”, comentó Al</w:t>
            </w:r>
            <w:r>
              <w:rPr>
                <w:rFonts w:ascii="Arial" w:hAnsi="Arial" w:cs="Arial"/>
                <w:color w:val="000000"/>
                <w:lang w:eastAsia="es-CR"/>
              </w:rPr>
              <w:t>exander Solís, presidente de la CNE.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Uno de cada tres cantones presenta un alto nivel de riesgo de contagio. Los 26 cantones que estarán en alerta naranja a partir de mañana son: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 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center"/>
              <w:rPr>
                <w:rFonts w:ascii="Arial" w:hAnsi="Arial" w:cs="Arial"/>
                <w:lang w:eastAsia="es-CR"/>
              </w:rPr>
            </w:pPr>
            <w:r>
              <w:rPr>
                <w:rFonts w:ascii="Arial" w:hAnsi="Arial" w:cs="Arial"/>
                <w:noProof/>
                <w:lang w:eastAsia="es-CR"/>
              </w:rPr>
              <w:lastRenderedPageBreak/>
              <w:drawing>
                <wp:inline distT="0" distB="0" distL="0" distR="0">
                  <wp:extent cx="5669280" cy="1749425"/>
                  <wp:effectExtent l="0" t="0" r="7620" b="3175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Doce cantones bajan a alerta amarilla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Otros doce cantones, en su mayoría fuera de la Gran Área Metropolitana, regresan a la alerta amarilla, según lo determinó el Centro de Operaciones en Emergencia, tras revisar el comportamiento del virus en los territorios.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Los cantones que esta semana reg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resan a la situación amarilla son: Dota, Orotina, Sarchí, San Pablo, Nandayure, Hojancha, Puntarenas, Buenos Aires, Corredores, Siquirres, Talamanca y Guácimo.  </w:t>
            </w: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:rsidR="00000000" w:rsidRDefault="00D131A9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La CNE reitera que, aunque se esté en condición amarilla en el cantón, no se deben relajar la</w:t>
            </w:r>
            <w:r>
              <w:rPr>
                <w:rFonts w:ascii="Arial" w:hAnsi="Arial" w:cs="Arial"/>
                <w:color w:val="000000"/>
                <w:lang w:eastAsia="es-CR"/>
              </w:rPr>
              <w:t>s medidas sanitarias, pues mientras existe el riesgo de contagio de coronavirus se tienen que cumplir todos los protocolos preventivos: uso de mascarilla, mantenerse en burbuja, no tocarse la cara, lavado de manos y la distancia física de 1,8 metros con ot</w:t>
            </w:r>
            <w:r>
              <w:rPr>
                <w:rFonts w:ascii="Arial" w:hAnsi="Arial" w:cs="Arial"/>
                <w:color w:val="000000"/>
                <w:lang w:eastAsia="es-CR"/>
              </w:rPr>
              <w:t>ras personas.</w:t>
            </w:r>
          </w:p>
          <w:p w:rsidR="00000000" w:rsidRDefault="00D131A9">
            <w:pPr>
              <w:spacing w:after="0"/>
              <w:ind w:left="567" w:right="735"/>
              <w:contextualSpacing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1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1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1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1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1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1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31A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D131A9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4E7A"/>
    <w:multiLevelType w:val="hybridMultilevel"/>
    <w:tmpl w:val="D134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0963">
    <w:abstractNumId w:val="0"/>
  </w:num>
  <w:num w:numId="2" w16cid:durableId="17974851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A9"/>
    <w:rsid w:val="00D1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2022-05-13T20:04:00Z</dcterms:created>
  <dcterms:modified xsi:type="dcterms:W3CDTF">2022-05-13T20:04:00Z</dcterms:modified>
</cp:coreProperties>
</file>