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21"/>
        <w:gridCol w:w="1077"/>
        <w:gridCol w:w="3440"/>
        <w:gridCol w:w="3400"/>
        <w:gridCol w:w="551"/>
        <w:gridCol w:w="220"/>
      </w:tblGrid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756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jc w:val="center"/>
              <w:rPr>
                <w:lang w:val="es-ES"/>
              </w:rPr>
            </w:pPr>
          </w:p>
          <w:p w:rsidR="00000000" w:rsidRDefault="00BC0682">
            <w:pPr>
              <w:spacing w:after="0" w:line="240" w:lineRule="auto"/>
              <w:jc w:val="center"/>
              <w:rPr>
                <w:rFonts w:asciiTheme="majorHAnsi" w:eastAsiaTheme="majorEastAsia" w:hAnsiTheme="majorHAnsi" w:cstheme="majorBidi"/>
                <w:color w:val="2E74B5" w:themeColor="accent1" w:themeShade="BF"/>
                <w:sz w:val="36"/>
                <w:szCs w:val="36"/>
                <w:lang w:val="es-ES"/>
              </w:rPr>
            </w:pPr>
            <w:r>
              <w:rPr>
                <w:rFonts w:asciiTheme="majorHAnsi" w:eastAsiaTheme="majorEastAsia" w:hAnsiTheme="majorHAnsi" w:cstheme="majorBidi"/>
                <w:color w:val="2E74B5" w:themeColor="accent1" w:themeShade="BF"/>
                <w:sz w:val="36"/>
                <w:szCs w:val="36"/>
                <w:lang w:val="es-ES"/>
              </w:rPr>
              <w:t>2700 productores afectados por la pandemia reciben más de 353 mil kg de semillas</w:t>
            </w:r>
          </w:p>
          <w:p w:rsidR="00000000" w:rsidRDefault="00BC0682">
            <w:pPr>
              <w:rPr>
                <w:lang w:val="es-ES"/>
              </w:rPr>
            </w:pPr>
          </w:p>
          <w:p w:rsidR="00000000" w:rsidRDefault="00BC0682">
            <w:pPr>
              <w:jc w:val="center"/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6870065" cy="5144770"/>
                  <wp:effectExtent l="0" t="0" r="698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065" cy="5144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0682">
            <w:pPr>
              <w:spacing w:after="0" w:line="240" w:lineRule="auto"/>
              <w:jc w:val="center"/>
              <w:rPr>
                <w:rFonts w:ascii="Times New Roman" w:eastAsia="Arial" w:hAnsi="Times New Roman" w:cs="Times New Roman"/>
                <w:b/>
                <w:sz w:val="32"/>
                <w:szCs w:val="32"/>
                <w:lang w:eastAsia="es-ES"/>
              </w:rPr>
            </w:pPr>
          </w:p>
          <w:p w:rsidR="00000000" w:rsidRDefault="00BC0682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Cs/>
                <w:i/>
                <w:iCs/>
                <w:lang w:eastAsia="es-ES"/>
              </w:rPr>
            </w:pPr>
            <w:r>
              <w:rPr>
                <w:rFonts w:ascii="Arial" w:eastAsia="Arial" w:hAnsi="Arial" w:cs="Arial"/>
                <w:bCs/>
                <w:i/>
                <w:iCs/>
                <w:lang w:eastAsia="es-ES"/>
              </w:rPr>
              <w:t>La compra de los insumos requirió una inversión de más de 1,186,000,000 colones</w:t>
            </w:r>
          </w:p>
          <w:p w:rsidR="00000000" w:rsidRDefault="00BC0682">
            <w:pPr>
              <w:pStyle w:val="Prrafodelista"/>
              <w:spacing w:after="0" w:line="240" w:lineRule="auto"/>
              <w:rPr>
                <w:rFonts w:ascii="Arial" w:eastAsia="Arial" w:hAnsi="Arial" w:cs="Arial"/>
                <w:bCs/>
                <w:i/>
                <w:iCs/>
                <w:sz w:val="16"/>
                <w:szCs w:val="16"/>
                <w:lang w:eastAsia="es-ES"/>
              </w:rPr>
            </w:pPr>
          </w:p>
          <w:p w:rsidR="00000000" w:rsidRDefault="00BC0682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Cs/>
                <w:i/>
                <w:iCs/>
                <w:lang w:eastAsia="es-ES"/>
              </w:rPr>
            </w:pPr>
            <w:r>
              <w:rPr>
                <w:rFonts w:ascii="Arial" w:eastAsia="Arial" w:hAnsi="Arial" w:cs="Arial"/>
                <w:bCs/>
                <w:i/>
                <w:iCs/>
                <w:lang w:eastAsia="es-ES"/>
              </w:rPr>
              <w:t>Los insumos son repartidos por etapas, la última entrega se realizará en noviembre de este año y con ellos se podrán cultivar aproximadamente 5 415 hectáreas.</w:t>
            </w:r>
          </w:p>
          <w:p w:rsidR="00000000" w:rsidRDefault="00BC0682">
            <w:pPr>
              <w:spacing w:after="0" w:line="240" w:lineRule="auto"/>
              <w:rPr>
                <w:rFonts w:ascii="Arial" w:eastAsia="Arial" w:hAnsi="Arial" w:cs="Arial"/>
                <w:bCs/>
                <w:i/>
                <w:iCs/>
                <w:sz w:val="14"/>
                <w:szCs w:val="14"/>
                <w:lang w:eastAsia="es-ES"/>
              </w:rPr>
            </w:pPr>
          </w:p>
          <w:p w:rsidR="00000000" w:rsidRDefault="00BC0682">
            <w:pPr>
              <w:pStyle w:val="Prrafodelista"/>
              <w:numPr>
                <w:ilvl w:val="0"/>
                <w:numId w:val="5"/>
              </w:numPr>
              <w:spacing w:after="0" w:line="240" w:lineRule="auto"/>
              <w:rPr>
                <w:rFonts w:ascii="Arial" w:eastAsia="Arial" w:hAnsi="Arial" w:cs="Arial"/>
                <w:bCs/>
                <w:i/>
                <w:iCs/>
                <w:lang w:eastAsia="es-ES"/>
              </w:rPr>
            </w:pPr>
            <w:r>
              <w:rPr>
                <w:rFonts w:ascii="Arial" w:eastAsia="Arial" w:hAnsi="Arial" w:cs="Arial"/>
                <w:bCs/>
                <w:i/>
                <w:iCs/>
                <w:lang w:eastAsia="es-ES"/>
              </w:rPr>
              <w:t xml:space="preserve">Estas acciones benefician de manera directa a 2700 productores de diferentes zonas en la Región </w:t>
            </w:r>
            <w:r>
              <w:rPr>
                <w:rFonts w:ascii="Arial" w:eastAsia="Arial" w:hAnsi="Arial" w:cs="Arial"/>
                <w:bCs/>
                <w:i/>
                <w:iCs/>
                <w:lang w:eastAsia="es-ES"/>
              </w:rPr>
              <w:t>Brunca, Región Chorotega, Región Huetar Norte, Región Pacífico Central.</w:t>
            </w:r>
          </w:p>
          <w:p w:rsidR="00000000" w:rsidRDefault="00BC0682">
            <w:pPr>
              <w:pStyle w:val="Prrafodelista"/>
              <w:spacing w:after="0" w:line="240" w:lineRule="auto"/>
              <w:rPr>
                <w:rFonts w:ascii="Arial" w:eastAsia="Arial" w:hAnsi="Arial" w:cs="Arial"/>
                <w:bCs/>
                <w:i/>
                <w:iCs/>
                <w:lang w:eastAsia="es-ES"/>
              </w:rPr>
            </w:pPr>
            <w:r>
              <w:rPr>
                <w:rFonts w:ascii="Arial" w:eastAsia="Arial" w:hAnsi="Arial" w:cs="Arial"/>
                <w:bCs/>
                <w:i/>
                <w:iCs/>
                <w:lang w:eastAsia="es-ES"/>
              </w:rPr>
              <w:t xml:space="preserve"> 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b/>
                <w:bCs/>
                <w:i/>
                <w:iCs/>
                <w:sz w:val="20"/>
                <w:szCs w:val="36"/>
                <w:lang w:eastAsia="es-ES"/>
              </w:rPr>
              <w:t>San José, 22 de septiembre de 2021</w:t>
            </w:r>
            <w:r>
              <w:rPr>
                <w:rFonts w:ascii="Arial" w:eastAsia="Arial" w:hAnsi="Arial" w:cs="Arial"/>
                <w:b/>
                <w:bCs/>
                <w:sz w:val="20"/>
                <w:szCs w:val="36"/>
                <w:lang w:eastAsia="es-ES"/>
              </w:rPr>
              <w:t>.</w:t>
            </w:r>
            <w:r>
              <w:rPr>
                <w:rFonts w:ascii="Arial" w:eastAsia="Arial" w:hAnsi="Arial" w:cs="Arial"/>
                <w:sz w:val="20"/>
                <w:szCs w:val="36"/>
                <w:lang w:eastAsia="es-ES"/>
              </w:rPr>
              <w:t xml:space="preserve"> 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Luego de las afectaciones económicas sufridas por los pequeños y medianos agricultores a raíz de la pandemia del COVID-19, la Comisión Nacional d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e Prevención de Riesgos y Atención de Emergencias (CNE), en apoyo con el Ministerio de Agricultura y Ganadería (MAG) y el Consejo Nacional de Producción (CNP) pusieron en marcha un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lastRenderedPageBreak/>
              <w:t>proyecto que beneficiará a estos productores con 353,825 kilogramos de semi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llas de arroz y frijoles. 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El proyecto llamado “Compra de semillas de arroz y frijoles e insumos para cultivos” requirió una inversión de 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₵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 1,186,033,887.08 que fue aportada por la CNE con el objetivo de apoyar a los  pequeños y medianos productores frijo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leros de la Zona Huetar Norte, Chorotega y Brunca, así como los productores arroceros de la Zona Huetar Norte, Chorotega, Brunca, Huetar Atlántica y Pacífico Central que han sido afectados en sus actividades productivas y económicas como consecuencia de la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 pandemia del COVID-19.</w:t>
            </w:r>
          </w:p>
          <w:p w:rsidR="00000000" w:rsidRDefault="00BC0682">
            <w:pPr>
              <w:jc w:val="center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noProof/>
                <w:sz w:val="24"/>
                <w:szCs w:val="44"/>
                <w:lang w:eastAsia="es-ES"/>
              </w:rPr>
              <w:drawing>
                <wp:inline distT="0" distB="0" distL="0" distR="0">
                  <wp:extent cx="7028815" cy="5279390"/>
                  <wp:effectExtent l="0" t="0" r="635" b="0"/>
                  <wp:docPr id="2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8815" cy="527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Los 2708 beneficiarios recibirán semillas certificadas de alta calidad, en el caso de los arroceros,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se entregarán 238 500 kilogramos de semillas de arroz (dividido en 2 variedades que mejor se acoplen a la zona de producción), así como 115 325 kilogramos de semillas de frijoles (dividido en 5 variedades según la región). Además, en las ayudas se incluyen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 otro tipo de insumos como 46 385 quintales de fertilizantes y herbicidas. Con estos insumos se estima que se puedan cosechar hasta </w:t>
            </w:r>
            <w:r>
              <w:rPr>
                <w:rFonts w:ascii="Arial" w:eastAsia="Arial" w:hAnsi="Arial" w:cs="Arial"/>
                <w:b/>
                <w:bCs/>
                <w:sz w:val="24"/>
                <w:szCs w:val="44"/>
                <w:lang w:eastAsia="es-ES"/>
              </w:rPr>
              <w:t>5 415 hectáreas de granos básicos.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 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Hasta el momento, ya se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entregaron insumos en sectores como Buenos Aires, Osa, Pérez Zeledón, San Vito, Carrillo, La Cruz, Liberia, Nicoya Nandayure, Guatuso, Upala, Río Frío, Quepos, Parrita y en los próximos días se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lastRenderedPageBreak/>
              <w:t xml:space="preserve">entregarán las ayudas en Pejibaye de Pérez Zeledón y Pilas de 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Buenos Aires, además de  Matina y Ticabán en Huetar Caribe, cabe destacar que las entregas culminan en noviembre.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</w:p>
          <w:p w:rsidR="00000000" w:rsidRDefault="00BC0682">
            <w:pPr>
              <w:jc w:val="center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noProof/>
                <w:sz w:val="24"/>
                <w:szCs w:val="44"/>
                <w:lang w:eastAsia="es-ES"/>
              </w:rPr>
              <w:drawing>
                <wp:inline distT="0" distB="0" distL="0" distR="0">
                  <wp:extent cx="6742430" cy="5057140"/>
                  <wp:effectExtent l="0" t="0" r="1270" b="0"/>
                  <wp:docPr id="3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2430" cy="5057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Para Alexander Solís, presidente de la CNE “recuperar las distintas áreas que se vieron afectadas por la pandemia es fundamental, con el fi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n de seguir  reactivando la economía del país”.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Por otra parte, para el productor de frijoles, Greivin Marín Martinez “esta ayuda es algo que nos motiva para seguirla pulseándola, y nos cae como anillo al dedo, porque el cultivo de frijoles comienza en oct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 xml:space="preserve">ubre” 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De igual manera, Jeimy Morales Quirós externó su agradecimiento e indicó que “la pandemia nos pegó muy duro y nos dejó sin dinero, ahora con esto ya podemos seguir cultivando”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En la iniciativa participan también instituciones como Conarroz entregand</w:t>
            </w:r>
            <w:r>
              <w:rPr>
                <w:rFonts w:ascii="Arial" w:eastAsia="Arial" w:hAnsi="Arial" w:cs="Arial"/>
                <w:sz w:val="24"/>
                <w:szCs w:val="44"/>
                <w:lang w:eastAsia="es-ES"/>
              </w:rPr>
              <w:t>o asesoría técnica, y diferentes Asociaciones de Desarrollo para la coordinación en la entrega.</w:t>
            </w: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</w:p>
          <w:p w:rsidR="00000000" w:rsidRDefault="00BC0682">
            <w:pPr>
              <w:jc w:val="both"/>
              <w:rPr>
                <w:rFonts w:ascii="Arial" w:eastAsia="Arial" w:hAnsi="Arial" w:cs="Arial"/>
                <w:sz w:val="24"/>
                <w:szCs w:val="44"/>
                <w:lang w:eastAsia="es-ES"/>
              </w:rPr>
            </w:pPr>
          </w:p>
          <w:p w:rsidR="00000000" w:rsidRDefault="00BC0682">
            <w:pPr>
              <w:jc w:val="both"/>
              <w:rPr>
                <w:rFonts w:ascii="Arial" w:hAnsi="Arial" w:cs="Arial"/>
                <w:sz w:val="24"/>
                <w:lang w:val="es-ES"/>
              </w:rPr>
            </w:pPr>
            <w:r>
              <w:rPr>
                <w:rFonts w:ascii="Arial" w:eastAsia="Arial" w:hAnsi="Arial" w:cs="Arial"/>
                <w:sz w:val="24"/>
                <w:szCs w:val="44"/>
                <w:lang w:val="es-ES" w:eastAsia="es-ES"/>
              </w:rPr>
              <w:t xml:space="preserve"> </w:t>
            </w: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  <w:tr w:rsidR="00000000">
        <w:tc>
          <w:tcPr>
            <w:tcW w:w="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  <w:tc>
          <w:tcPr>
            <w:tcW w:w="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Default="00BC0682">
            <w:pPr>
              <w:spacing w:after="0" w:line="240" w:lineRule="auto"/>
              <w:jc w:val="center"/>
              <w:rPr>
                <w:bCs/>
                <w:color w:val="000000"/>
                <w:sz w:val="40"/>
                <w:szCs w:val="40"/>
                <w:lang w:eastAsia="es-CR"/>
              </w:rPr>
            </w:pPr>
          </w:p>
        </w:tc>
      </w:tr>
    </w:tbl>
    <w:p w:rsidR="00000000" w:rsidRDefault="00BC0682">
      <w:pPr>
        <w:jc w:val="right"/>
        <w:rPr>
          <w:rFonts w:cstheme="minorHAnsi"/>
          <w:bCs/>
          <w:sz w:val="20"/>
          <w:szCs w:val="20"/>
        </w:rPr>
      </w:pPr>
    </w:p>
    <w:sectPr w:rsidR="00000000">
      <w:headerReference w:type="default" r:id="rId11"/>
      <w:pgSz w:w="11907" w:h="16839"/>
      <w:pgMar w:top="1134" w:right="1134" w:bottom="1134" w:left="1134" w:header="426" w:footer="4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00000" w:rsidRDefault="00BC0682">
      <w:pPr>
        <w:spacing w:after="0" w:line="240" w:lineRule="auto"/>
      </w:pPr>
      <w:r>
        <w:separator/>
      </w:r>
    </w:p>
  </w:endnote>
  <w:endnote w:type="continuationSeparator" w:id="0">
    <w:p w:rsidR="00000000" w:rsidRDefault="00BC0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00000" w:rsidRDefault="00BC0682">
      <w:pPr>
        <w:spacing w:after="0" w:line="240" w:lineRule="auto"/>
      </w:pPr>
      <w:r>
        <w:separator/>
      </w:r>
    </w:p>
  </w:footnote>
  <w:footnote w:type="continuationSeparator" w:id="0">
    <w:p w:rsidR="00000000" w:rsidRDefault="00BC0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00000" w:rsidRDefault="00BC0682">
    <w:pPr>
      <w:pStyle w:val="Encabezado"/>
      <w:ind w:left="2124" w:right="618"/>
      <w:jc w:val="right"/>
      <w:rPr>
        <w:rFonts w:ascii="Times New Roman" w:hAnsi="Times New Roman" w:cs="Times New Roman"/>
        <w:b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74381B84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0C93C0E"/>
    <w:multiLevelType w:val="hybridMultilevel"/>
    <w:tmpl w:val="60203F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53521417">
    <w:abstractNumId w:val="0"/>
  </w:num>
  <w:num w:numId="2" w16cid:durableId="1520238718">
    <w:abstractNumId w:val="0"/>
  </w:num>
  <w:num w:numId="3" w16cid:durableId="114175632">
    <w:abstractNumId w:val="0"/>
    <w:lvlOverride w:ilvl="0"/>
  </w:num>
  <w:num w:numId="4" w16cid:durableId="51586150">
    <w:abstractNumId w:val="1"/>
  </w:num>
  <w:num w:numId="5" w16cid:durableId="536310842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ttachedTemplate r:id="rId1"/>
  <w:defaultTabStop w:val="708"/>
  <w:hyphenationZone w:val="420"/>
  <w:characterSpacingControl w:val="doNotCompress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682"/>
    <w:rsid w:val="00BC06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3"/>
    <o:shapelayout v:ext="edit">
      <o:idmap v:ext="edit" data="1"/>
    </o:shapelayout>
  </w:shapeDefaults>
  <w:decimalSymbol w:val="."/>
  <w:listSeparator w:val=","/>
  <w15:chartTrackingRefBased/>
  <w15:docId w15:val="{AF86931B-E930-4963-BBC4-F681749B7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es-C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2" w:lineRule="auto"/>
    </w:pPr>
    <w:rPr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semiHidden/>
    <w:unhideWhenUsed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Pr>
      <w:color w:val="954F72" w:themeColor="followed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locked/>
    <w:rPr>
      <w:rFonts w:asciiTheme="majorHAnsi" w:eastAsiaTheme="majorEastAsia" w:hAnsiTheme="majorHAnsi" w:cstheme="majorBidi" w:hint="default"/>
      <w:color w:val="2E74B5" w:themeColor="accent1" w:themeShade="BF"/>
      <w:sz w:val="32"/>
      <w:szCs w:val="32"/>
    </w:rPr>
  </w:style>
  <w:style w:type="paragraph" w:customStyle="1" w:styleId="msonormal0">
    <w:name w:val="msonormal"/>
    <w:basedOn w:val="Normal"/>
    <w:uiPriority w:val="99"/>
    <w:semiHidden/>
    <w:rPr>
      <w:rFonts w:ascii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Pr>
      <w:rFonts w:ascii="Times New Roman" w:hAnsi="Times New Roman" w:cs="Times New Roman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locked/>
  </w:style>
  <w:style w:type="paragraph" w:styleId="Piedepgina">
    <w:name w:val="footer"/>
    <w:basedOn w:val="Normal"/>
    <w:link w:val="PiedepginaCar"/>
    <w:uiPriority w:val="99"/>
    <w:semiHidden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</w:style>
  <w:style w:type="paragraph" w:styleId="Descripcin">
    <w:name w:val="caption"/>
    <w:basedOn w:val="Normal"/>
    <w:next w:val="Normal"/>
    <w:uiPriority w:val="99"/>
    <w:semiHidden/>
    <w:unhideWhenUsed/>
    <w:qFormat/>
    <w:pPr>
      <w:spacing w:after="0" w:line="240" w:lineRule="auto"/>
      <w:jc w:val="right"/>
    </w:pPr>
    <w:rPr>
      <w:rFonts w:ascii="Comic Sans MS" w:eastAsia="Times New Roman" w:hAnsi="Comic Sans MS" w:cs="Times New Roman"/>
      <w:b/>
      <w:i/>
      <w:sz w:val="24"/>
      <w:szCs w:val="20"/>
      <w:lang w:val="es-ES_tradnl" w:eastAsia="es-ES"/>
    </w:rPr>
  </w:style>
  <w:style w:type="paragraph" w:styleId="Listaconvietas">
    <w:name w:val="List Bullet"/>
    <w:basedOn w:val="Normal"/>
    <w:uiPriority w:val="99"/>
    <w:semiHidden/>
    <w:unhideWhenUsed/>
    <w:pPr>
      <w:numPr>
        <w:numId w:val="3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Sinespaciado">
    <w:name w:val="No Spacing"/>
    <w:uiPriority w:val="1"/>
    <w:semiHidden/>
    <w:qFormat/>
    <w:rPr>
      <w:sz w:val="22"/>
      <w:szCs w:val="22"/>
    </w:rPr>
  </w:style>
  <w:style w:type="paragraph" w:styleId="Prrafodelista">
    <w:name w:val="List Paragraph"/>
    <w:basedOn w:val="Normal"/>
    <w:uiPriority w:val="34"/>
    <w:semiHidden/>
    <w:qFormat/>
    <w:pPr>
      <w:ind w:left="720"/>
      <w:contextualSpacing/>
    </w:pPr>
  </w:style>
  <w:style w:type="paragraph" w:customStyle="1" w:styleId="Default">
    <w:name w:val="Default"/>
    <w:uiPriority w:val="99"/>
    <w:semiHidden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Pr>
      <w:sz w:val="22"/>
      <w:szCs w:val="22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5oscura-nfasis6">
    <w:name w:val="Grid Table 5 Dark Accent 6"/>
    <w:basedOn w:val="Tablanormal"/>
    <w:uiPriority w:val="50"/>
    <w:rPr>
      <w:rFonts w:ascii="Arial" w:eastAsia="Arial" w:hAnsi="Arial" w:cs="Arial"/>
      <w:sz w:val="22"/>
      <w:szCs w:val="22"/>
      <w:lang w:eastAsia="es-ES_tradnl"/>
    </w:rPr>
    <w:tblPr>
      <w:tblStyleRowBandSize w:val="1"/>
      <w:tblStyleColBandSize w:val="1"/>
      <w:tblInd w:w="0" w:type="nil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Tabladecuadrcula4-nfasis21">
    <w:name w:val="Tabla de cuadrícula 4 - Énfasis 21"/>
    <w:basedOn w:val="Tablanormal"/>
    <w:uiPriority w:val="49"/>
    <w:rPr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customStyle="1" w:styleId="Tabladecuadrcula4-nfasis41">
    <w:name w:val="Tabla de cuadrícula 4 - Énfasis 41"/>
    <w:basedOn w:val="Tablanormal"/>
    <w:uiPriority w:val="49"/>
    <w:rPr>
      <w:sz w:val="22"/>
      <w:szCs w:val="22"/>
    </w:rPr>
    <w:tblPr>
      <w:tblStyleRowBandSize w:val="1"/>
      <w:tblStyleColBandSize w:val="1"/>
      <w:tblInd w:w="0" w:type="nil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E1D2FF-81AC-4EAD-BA32-0B4CC6ADB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485</Words>
  <Characters>2672</Characters>
  <Application>Microsoft Office Word</Application>
  <DocSecurity>0</DocSecurity>
  <Lines>22</Lines>
  <Paragraphs>6</Paragraphs>
  <ScaleCrop>false</ScaleCrop>
  <Company>Microsoft</Company>
  <LinksUpToDate>false</LinksUpToDate>
  <CharactersWithSpaces>3151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Hidalgo Madrigal</dc:creator>
  <cp:keywords/>
  <dc:description/>
  <cp:lastModifiedBy>David Eduarte Vargas</cp:lastModifiedBy>
  <cp:revision>2</cp:revision>
  <cp:lastPrinted>2019-08-06T21:41:00Z</cp:lastPrinted>
  <dcterms:created xsi:type="dcterms:W3CDTF">2022-05-13T20:04:00Z</dcterms:created>
  <dcterms:modified xsi:type="dcterms:W3CDTF">2022-05-13T20:04:00Z</dcterms:modified>
</cp:coreProperties>
</file>