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70"/>
        <w:gridCol w:w="824"/>
        <w:gridCol w:w="3251"/>
        <w:gridCol w:w="3210"/>
        <w:gridCol w:w="284"/>
        <w:gridCol w:w="269"/>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277CE5">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277CE5">
            <w:pPr>
              <w:rPr>
                <w:lang w:val="es-ES"/>
              </w:rPr>
            </w:pPr>
          </w:p>
          <w:p w:rsidR="00000000" w:rsidRDefault="00277CE5">
            <w:pPr>
              <w:jc w:val="center"/>
              <w:rPr>
                <w:rFonts w:asciiTheme="majorHAnsi" w:eastAsiaTheme="majorEastAsia" w:hAnsiTheme="majorHAnsi" w:cstheme="majorBidi"/>
                <w:color w:val="2E74B5" w:themeColor="accent1" w:themeShade="BF"/>
                <w:sz w:val="36"/>
                <w:szCs w:val="36"/>
                <w:lang w:val="es-ES"/>
              </w:rPr>
            </w:pPr>
            <w:r>
              <w:rPr>
                <w:rFonts w:asciiTheme="majorHAnsi" w:eastAsiaTheme="majorEastAsia" w:hAnsiTheme="majorHAnsi" w:cstheme="majorBidi"/>
                <w:color w:val="2E74B5" w:themeColor="accent1" w:themeShade="BF"/>
                <w:sz w:val="36"/>
                <w:szCs w:val="36"/>
                <w:lang w:val="es-ES"/>
              </w:rPr>
              <w:t>Alto riesgo de contagio persiste a pesar de reducción significativa de casos</w:t>
            </w:r>
          </w:p>
          <w:p w:rsidR="00000000" w:rsidRDefault="00277CE5">
            <w:pPr>
              <w:rPr>
                <w:rFonts w:ascii="Arial" w:hAnsi="Arial" w:cs="Arial"/>
                <w:i/>
              </w:rPr>
            </w:pPr>
          </w:p>
          <w:p w:rsidR="00000000" w:rsidRDefault="00277CE5">
            <w:pPr>
              <w:pStyle w:val="Prrafodelista"/>
              <w:numPr>
                <w:ilvl w:val="0"/>
                <w:numId w:val="5"/>
              </w:numPr>
              <w:spacing w:after="0" w:line="360" w:lineRule="auto"/>
              <w:ind w:left="714" w:hanging="357"/>
              <w:jc w:val="both"/>
              <w:rPr>
                <w:rFonts w:ascii="Arial" w:hAnsi="Arial" w:cs="Arial"/>
                <w:i/>
              </w:rPr>
            </w:pPr>
            <w:r>
              <w:rPr>
                <w:rFonts w:ascii="Arial" w:hAnsi="Arial" w:cs="Arial"/>
                <w:i/>
              </w:rPr>
              <w:t>Semana epidemiológica #40 cerró con 9.332 personas positivas por COVID-19</w:t>
            </w:r>
          </w:p>
          <w:p w:rsidR="00000000" w:rsidRDefault="00277CE5">
            <w:pPr>
              <w:pStyle w:val="Prrafodelista"/>
              <w:numPr>
                <w:ilvl w:val="0"/>
                <w:numId w:val="5"/>
              </w:numPr>
              <w:spacing w:after="0" w:line="360" w:lineRule="auto"/>
              <w:ind w:left="714" w:hanging="357"/>
              <w:jc w:val="both"/>
              <w:rPr>
                <w:rFonts w:ascii="Arial" w:hAnsi="Arial" w:cs="Arial"/>
                <w:i/>
              </w:rPr>
            </w:pPr>
            <w:r>
              <w:rPr>
                <w:rFonts w:ascii="Arial" w:hAnsi="Arial" w:cs="Arial"/>
                <w:i/>
              </w:rPr>
              <w:t xml:space="preserve">Cinco cantones, tres de ellos en la </w:t>
            </w:r>
            <w:r>
              <w:rPr>
                <w:rFonts w:ascii="Arial" w:hAnsi="Arial" w:cs="Arial"/>
                <w:i/>
              </w:rPr>
              <w:t>provincia de Alajuela, registraron aumento de nuevos casos</w:t>
            </w:r>
          </w:p>
          <w:p w:rsidR="00000000" w:rsidRDefault="00277CE5">
            <w:pPr>
              <w:pStyle w:val="Prrafodelista"/>
              <w:numPr>
                <w:ilvl w:val="0"/>
                <w:numId w:val="5"/>
              </w:numPr>
              <w:spacing w:after="0" w:line="360" w:lineRule="auto"/>
              <w:ind w:left="714" w:hanging="357"/>
              <w:jc w:val="both"/>
              <w:rPr>
                <w:rFonts w:ascii="Arial" w:hAnsi="Arial" w:cs="Arial"/>
                <w:i/>
              </w:rPr>
            </w:pPr>
            <w:r>
              <w:rPr>
                <w:rFonts w:ascii="Arial" w:hAnsi="Arial" w:cs="Arial"/>
                <w:i/>
              </w:rPr>
              <w:t>Alerta Naranja se mantiene para todo el territorio nacional por una semana más, pues pese a la disminución el riesgo de contagio es elevado</w:t>
            </w:r>
          </w:p>
          <w:p w:rsidR="00000000" w:rsidRDefault="00277CE5">
            <w:pPr>
              <w:pStyle w:val="Prrafodelista"/>
              <w:numPr>
                <w:ilvl w:val="0"/>
                <w:numId w:val="5"/>
              </w:numPr>
              <w:spacing w:after="0" w:line="360" w:lineRule="auto"/>
              <w:ind w:left="714" w:hanging="357"/>
              <w:jc w:val="both"/>
              <w:rPr>
                <w:rFonts w:ascii="Arial" w:hAnsi="Arial" w:cs="Arial"/>
                <w:i/>
              </w:rPr>
            </w:pPr>
            <w:r>
              <w:rPr>
                <w:rFonts w:ascii="Arial" w:hAnsi="Arial" w:cs="Arial"/>
                <w:i/>
              </w:rPr>
              <w:t>Autoridades piden a la población mayor a 18 años a acudir</w:t>
            </w:r>
            <w:r>
              <w:rPr>
                <w:rFonts w:ascii="Arial" w:hAnsi="Arial" w:cs="Arial"/>
                <w:i/>
              </w:rPr>
              <w:t xml:space="preserve"> a aplicarse la vacuna para prevenir el coronavirus</w:t>
            </w:r>
          </w:p>
          <w:p w:rsidR="00000000" w:rsidRDefault="00277CE5">
            <w:pPr>
              <w:spacing w:after="0" w:line="276" w:lineRule="auto"/>
              <w:jc w:val="both"/>
              <w:rPr>
                <w:rFonts w:ascii="Arial" w:hAnsi="Arial" w:cs="Arial"/>
                <w:i/>
              </w:rPr>
            </w:pPr>
          </w:p>
          <w:p w:rsidR="00000000" w:rsidRDefault="00277CE5">
            <w:pPr>
              <w:tabs>
                <w:tab w:val="left" w:pos="2880"/>
              </w:tabs>
              <w:spacing w:after="0" w:line="240" w:lineRule="auto"/>
              <w:jc w:val="both"/>
              <w:rPr>
                <w:rFonts w:ascii="Arial" w:hAnsi="Arial" w:cs="Arial"/>
                <w:bCs/>
                <w:i/>
                <w:iCs/>
                <w:sz w:val="20"/>
                <w:szCs w:val="20"/>
                <w:lang w:val="es-ES"/>
              </w:rPr>
            </w:pPr>
          </w:p>
          <w:p w:rsidR="00000000" w:rsidRDefault="00277CE5">
            <w:pPr>
              <w:pStyle w:val="Prrafodelista"/>
              <w:spacing w:after="0" w:line="240" w:lineRule="auto"/>
              <w:rPr>
                <w:rFonts w:ascii="Arial" w:hAnsi="Arial" w:cs="Arial"/>
                <w:bCs/>
                <w:i/>
                <w:iCs/>
                <w:sz w:val="20"/>
                <w:szCs w:val="20"/>
                <w:lang w:val="es-ES"/>
              </w:rPr>
            </w:pPr>
          </w:p>
          <w:p w:rsidR="00000000" w:rsidRDefault="00277CE5">
            <w:pPr>
              <w:jc w:val="both"/>
              <w:rPr>
                <w:rFonts w:ascii="Arial" w:eastAsia="Arial" w:hAnsi="Arial" w:cs="Arial"/>
                <w:sz w:val="24"/>
                <w:szCs w:val="44"/>
                <w:lang w:val="es-ES" w:eastAsia="es-ES"/>
              </w:rPr>
            </w:pPr>
            <w:r>
              <w:rPr>
                <w:rFonts w:ascii="Arial" w:hAnsi="Arial" w:cs="Arial"/>
                <w:b/>
                <w:bCs/>
                <w:szCs w:val="24"/>
              </w:rPr>
              <w:t>San José, 12 de octubre de 2021.</w:t>
            </w:r>
            <w:r>
              <w:rPr>
                <w:rFonts w:ascii="Arial" w:hAnsi="Arial" w:cs="Arial"/>
                <w:szCs w:val="24"/>
              </w:rPr>
              <w:t xml:space="preserve"> </w:t>
            </w:r>
            <w:r>
              <w:rPr>
                <w:rFonts w:ascii="Arial" w:eastAsia="Arial" w:hAnsi="Arial" w:cs="Arial"/>
                <w:sz w:val="24"/>
                <w:szCs w:val="44"/>
                <w:lang w:val="es-ES" w:eastAsia="es-ES"/>
              </w:rPr>
              <w:t>Durante la semana epidemiológica #40 el total de casos nuevos cerró en 9.332, lo que representó una disminución de 25.3% con respecto a la semana anterior, según los da</w:t>
            </w:r>
            <w:r>
              <w:rPr>
                <w:rFonts w:ascii="Arial" w:eastAsia="Arial" w:hAnsi="Arial" w:cs="Arial"/>
                <w:sz w:val="24"/>
                <w:szCs w:val="44"/>
                <w:lang w:val="es-ES" w:eastAsia="es-ES"/>
              </w:rPr>
              <w:t>tos aportados por la Sala de Análisis de la Situación Nacional (SASN). Sin embargo, el país aun mantiene más 1.200 personas hospitalizadas y un alto riesgo de contagio en todas las regiones del país.</w:t>
            </w:r>
          </w:p>
          <w:p w:rsidR="00000000" w:rsidRDefault="00277CE5">
            <w:pPr>
              <w:contextualSpacing/>
              <w:jc w:val="both"/>
              <w:rPr>
                <w:rFonts w:ascii="Arial" w:eastAsia="Arial" w:hAnsi="Arial" w:cs="Arial"/>
                <w:sz w:val="24"/>
                <w:szCs w:val="44"/>
                <w:lang w:val="es-ES" w:eastAsia="es-ES"/>
              </w:rPr>
            </w:pPr>
          </w:p>
          <w:p w:rsidR="00000000" w:rsidRDefault="00277CE5">
            <w:pPr>
              <w:contextualSpacing/>
              <w:jc w:val="both"/>
              <w:rPr>
                <w:rFonts w:ascii="Arial" w:eastAsia="Arial" w:hAnsi="Arial" w:cs="Arial"/>
                <w:sz w:val="24"/>
                <w:szCs w:val="44"/>
                <w:lang w:val="es-ES" w:eastAsia="es-ES"/>
              </w:rPr>
            </w:pPr>
            <w:r>
              <w:rPr>
                <w:rFonts w:ascii="Arial" w:eastAsia="Arial" w:hAnsi="Arial" w:cs="Arial"/>
                <w:sz w:val="24"/>
                <w:szCs w:val="44"/>
                <w:lang w:val="es-ES" w:eastAsia="es-ES"/>
              </w:rPr>
              <w:t xml:space="preserve">Ante este panorama con </w:t>
            </w:r>
            <w:r>
              <w:rPr>
                <w:rFonts w:ascii="Arial" w:eastAsia="Arial" w:hAnsi="Arial" w:cs="Arial"/>
                <w:sz w:val="24"/>
                <w:szCs w:val="44"/>
                <w:lang w:val="es-ES" w:eastAsia="es-ES"/>
              </w:rPr>
              <w:t>condiciones de alto riesgo de contagio, la Comisión Nacional de Prevención de Riesgos y Atención de Emergencias (CNE) y el Centro de Operaciones de Emergencias acordó que se mantiene la declaratoria de alerta naranja para los 82 cantones del país continúa,</w:t>
            </w:r>
            <w:r>
              <w:rPr>
                <w:rFonts w:ascii="Arial" w:eastAsia="Arial" w:hAnsi="Arial" w:cs="Arial"/>
                <w:sz w:val="24"/>
                <w:szCs w:val="44"/>
                <w:lang w:val="es-ES" w:eastAsia="es-ES"/>
              </w:rPr>
              <w:t xml:space="preserve"> pues desde mayo a la fecha se han reportado los máximos valores de personas positivas.</w:t>
            </w:r>
          </w:p>
          <w:p w:rsidR="00000000" w:rsidRDefault="00277CE5">
            <w:pPr>
              <w:contextualSpacing/>
              <w:jc w:val="both"/>
              <w:rPr>
                <w:rFonts w:ascii="Arial" w:eastAsia="Arial" w:hAnsi="Arial" w:cs="Arial"/>
                <w:sz w:val="24"/>
                <w:szCs w:val="44"/>
                <w:lang w:val="es-ES" w:eastAsia="es-ES"/>
              </w:rPr>
            </w:pPr>
          </w:p>
          <w:p w:rsidR="00000000" w:rsidRDefault="00277CE5">
            <w:pPr>
              <w:jc w:val="both"/>
              <w:rPr>
                <w:rFonts w:ascii="Arial" w:eastAsia="Arial" w:hAnsi="Arial" w:cs="Arial"/>
                <w:sz w:val="24"/>
                <w:szCs w:val="44"/>
                <w:lang w:val="es-ES" w:eastAsia="es-ES"/>
              </w:rPr>
            </w:pPr>
            <w:r>
              <w:rPr>
                <w:rFonts w:ascii="Arial" w:eastAsia="Arial" w:hAnsi="Arial" w:cs="Arial"/>
                <w:sz w:val="24"/>
                <w:szCs w:val="44"/>
                <w:lang w:val="es-ES" w:eastAsia="es-ES"/>
              </w:rPr>
              <w:t>“En el marco del Día Internacional para la Reducción del Riesgo que se conmemora este 13 de octubre, queremos destacar el trabajo de las instituciones en el país que v</w:t>
            </w:r>
            <w:r>
              <w:rPr>
                <w:rFonts w:ascii="Arial" w:eastAsia="Arial" w:hAnsi="Arial" w:cs="Arial"/>
                <w:sz w:val="24"/>
                <w:szCs w:val="44"/>
                <w:lang w:val="es-ES" w:eastAsia="es-ES"/>
              </w:rPr>
              <w:t>ienen trabajando en la pandemia y las campañas de vacunación, así como el compromiso ciudadano para reforzar los protocolos en las comunidades y el acompañamiento solidario a las familias afectadas por el virus”, mencionó el presidente de la CNE, Alexander</w:t>
            </w:r>
            <w:r>
              <w:rPr>
                <w:rFonts w:ascii="Arial" w:eastAsia="Arial" w:hAnsi="Arial" w:cs="Arial"/>
                <w:sz w:val="24"/>
                <w:szCs w:val="44"/>
                <w:lang w:val="es-ES" w:eastAsia="es-ES"/>
              </w:rPr>
              <w:t xml:space="preserve"> Solís Delgado.</w:t>
            </w:r>
          </w:p>
          <w:p w:rsidR="00000000" w:rsidRDefault="00277CE5">
            <w:pPr>
              <w:jc w:val="both"/>
              <w:rPr>
                <w:rFonts w:ascii="Arial" w:eastAsia="Arial" w:hAnsi="Arial" w:cs="Arial"/>
                <w:sz w:val="24"/>
                <w:szCs w:val="44"/>
                <w:lang w:val="es-ES" w:eastAsia="es-ES"/>
              </w:rPr>
            </w:pPr>
          </w:p>
          <w:p w:rsidR="00000000" w:rsidRDefault="00277CE5">
            <w:pPr>
              <w:jc w:val="both"/>
              <w:rPr>
                <w:rFonts w:ascii="Arial" w:eastAsia="Arial" w:hAnsi="Arial" w:cs="Arial"/>
                <w:sz w:val="24"/>
                <w:szCs w:val="44"/>
                <w:lang w:val="es-ES" w:eastAsia="es-ES"/>
              </w:rPr>
            </w:pPr>
            <w:r>
              <w:rPr>
                <w:rFonts w:ascii="Arial" w:eastAsia="Arial" w:hAnsi="Arial" w:cs="Arial"/>
                <w:sz w:val="24"/>
                <w:szCs w:val="44"/>
                <w:lang w:val="es-ES" w:eastAsia="es-ES"/>
              </w:rPr>
              <w:t>La aplicación de los protocolos sanitarios y el avance en la campaña de vacunación ha permitido la disminución de casos en las últimas tres semanas en la mayor parte del país. Por ejemplo, el cantón central de San José pasó de reportar 139</w:t>
            </w:r>
            <w:r>
              <w:rPr>
                <w:rFonts w:ascii="Arial" w:eastAsia="Arial" w:hAnsi="Arial" w:cs="Arial"/>
                <w:sz w:val="24"/>
                <w:szCs w:val="44"/>
                <w:lang w:val="es-ES" w:eastAsia="es-ES"/>
              </w:rPr>
              <w:t xml:space="preserve">9 casos nuevos en la </w:t>
            </w:r>
            <w:r>
              <w:rPr>
                <w:rFonts w:ascii="Arial" w:eastAsia="Arial" w:hAnsi="Arial" w:cs="Arial"/>
                <w:sz w:val="24"/>
                <w:szCs w:val="44"/>
                <w:lang w:val="es-ES" w:eastAsia="es-ES"/>
              </w:rPr>
              <w:lastRenderedPageBreak/>
              <w:t>semana #38 y a 752 casos en la semana anterior, Desamparados pasó de 861 a 480 en el mismo periodo, Alajuela de 1065 a 655, Cartago de 633 contagios a 345 y el cantón central de Heredia de 427 a 263.</w:t>
            </w:r>
          </w:p>
          <w:p w:rsidR="00000000" w:rsidRDefault="00277CE5">
            <w:pPr>
              <w:jc w:val="both"/>
              <w:rPr>
                <w:rFonts w:ascii="Arial" w:eastAsia="Arial" w:hAnsi="Arial" w:cs="Arial"/>
                <w:sz w:val="24"/>
                <w:szCs w:val="44"/>
                <w:lang w:val="es-ES" w:eastAsia="es-ES"/>
              </w:rPr>
            </w:pPr>
          </w:p>
          <w:p w:rsidR="00000000" w:rsidRDefault="00277CE5">
            <w:pPr>
              <w:jc w:val="both"/>
              <w:rPr>
                <w:rFonts w:ascii="Arial" w:eastAsia="Arial" w:hAnsi="Arial" w:cs="Arial"/>
                <w:sz w:val="24"/>
                <w:szCs w:val="44"/>
                <w:lang w:val="es-ES" w:eastAsia="es-ES"/>
              </w:rPr>
            </w:pPr>
            <w:r>
              <w:rPr>
                <w:rFonts w:ascii="Arial" w:eastAsia="Arial" w:hAnsi="Arial" w:cs="Arial"/>
                <w:sz w:val="24"/>
                <w:szCs w:val="44"/>
                <w:lang w:val="es-ES" w:eastAsia="es-ES"/>
              </w:rPr>
              <w:t>A pesar de la mejora en el indicad</w:t>
            </w:r>
            <w:r>
              <w:rPr>
                <w:rFonts w:ascii="Arial" w:eastAsia="Arial" w:hAnsi="Arial" w:cs="Arial"/>
                <w:sz w:val="24"/>
                <w:szCs w:val="44"/>
                <w:lang w:val="es-ES" w:eastAsia="es-ES"/>
              </w:rPr>
              <w:t>or de contagios, hay cinco cantones que aún mantienen una tendencia en el aumento de casos positivos por Coronavirus: San Mateo 50%, Goicoechea 9%, Atenas 9%, Los Chiles 13% y el cantón de Garabito con un incremento del 1%.</w:t>
            </w:r>
          </w:p>
          <w:p w:rsidR="00000000" w:rsidRDefault="00277CE5">
            <w:pPr>
              <w:jc w:val="both"/>
              <w:rPr>
                <w:rFonts w:ascii="Arial" w:eastAsia="Arial" w:hAnsi="Arial" w:cs="Arial"/>
                <w:sz w:val="24"/>
                <w:szCs w:val="44"/>
                <w:lang w:val="es-ES" w:eastAsia="es-ES"/>
              </w:rPr>
            </w:pPr>
          </w:p>
          <w:p w:rsidR="00000000" w:rsidRDefault="00277CE5">
            <w:pPr>
              <w:jc w:val="both"/>
              <w:rPr>
                <w:rFonts w:ascii="Arial" w:eastAsia="Arial" w:hAnsi="Arial" w:cs="Arial"/>
                <w:sz w:val="24"/>
                <w:szCs w:val="44"/>
                <w:lang w:val="es-ES" w:eastAsia="es-ES"/>
              </w:rPr>
            </w:pPr>
            <w:r>
              <w:rPr>
                <w:rFonts w:ascii="Arial" w:eastAsia="Arial" w:hAnsi="Arial" w:cs="Arial"/>
                <w:sz w:val="24"/>
                <w:szCs w:val="44"/>
                <w:lang w:val="es-ES" w:eastAsia="es-ES"/>
              </w:rPr>
              <w:t xml:space="preserve">Cada 12 minutos un paciente es </w:t>
            </w:r>
            <w:r>
              <w:rPr>
                <w:rFonts w:ascii="Arial" w:eastAsia="Arial" w:hAnsi="Arial" w:cs="Arial"/>
                <w:sz w:val="24"/>
                <w:szCs w:val="44"/>
                <w:lang w:val="es-ES" w:eastAsia="es-ES"/>
              </w:rPr>
              <w:t>ingresado al hospital por complicaciones asociadas al virus. Más de 1200 personas permanecen internadas, cifra que viene en dismunición, según reporta la SASN.</w:t>
            </w:r>
          </w:p>
          <w:p w:rsidR="00000000" w:rsidRDefault="00277CE5">
            <w:pPr>
              <w:jc w:val="both"/>
              <w:rPr>
                <w:rFonts w:ascii="Arial" w:eastAsia="Arial" w:hAnsi="Arial" w:cs="Arial"/>
                <w:sz w:val="24"/>
                <w:szCs w:val="44"/>
                <w:lang w:val="es-ES" w:eastAsia="es-ES"/>
              </w:rPr>
            </w:pPr>
          </w:p>
          <w:p w:rsidR="00000000" w:rsidRDefault="00277CE5">
            <w:pPr>
              <w:jc w:val="both"/>
              <w:rPr>
                <w:rFonts w:ascii="Arial" w:eastAsia="Arial" w:hAnsi="Arial" w:cs="Arial"/>
                <w:sz w:val="24"/>
                <w:szCs w:val="44"/>
                <w:lang w:val="es-ES" w:eastAsia="es-ES"/>
              </w:rPr>
            </w:pPr>
          </w:p>
          <w:p w:rsidR="00000000" w:rsidRDefault="00277CE5">
            <w:pPr>
              <w:jc w:val="center"/>
              <w:rPr>
                <w:rFonts w:ascii="Arial" w:eastAsia="Arial" w:hAnsi="Arial" w:cs="Arial"/>
                <w:sz w:val="24"/>
                <w:szCs w:val="44"/>
                <w:lang w:val="es-ES" w:eastAsia="es-ES"/>
              </w:rPr>
            </w:pPr>
          </w:p>
          <w:p w:rsidR="00000000" w:rsidRDefault="00277CE5">
            <w:pPr>
              <w:jc w:val="both"/>
              <w:rPr>
                <w:rFonts w:ascii="Arial" w:hAnsi="Arial" w:cs="Arial"/>
                <w:sz w:val="24"/>
                <w:lang w:val="es-ES"/>
              </w:rPr>
            </w:pPr>
          </w:p>
        </w:tc>
        <w:tc>
          <w:tcPr>
            <w:tcW w:w="269" w:type="dxa"/>
            <w:tcBorders>
              <w:top w:val="single" w:sz="4" w:space="0" w:color="auto"/>
              <w:left w:val="single" w:sz="4" w:space="0" w:color="auto"/>
              <w:bottom w:val="single" w:sz="4" w:space="0" w:color="auto"/>
              <w:right w:val="single" w:sz="4" w:space="0" w:color="auto"/>
            </w:tcBorders>
          </w:tcPr>
          <w:p w:rsidR="00000000" w:rsidRDefault="00277CE5">
            <w:pPr>
              <w:spacing w:after="0" w:line="240" w:lineRule="auto"/>
              <w:jc w:val="center"/>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277CE5">
            <w:pPr>
              <w:spacing w:after="0" w:line="240" w:lineRule="auto"/>
              <w:jc w:val="center"/>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277CE5">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277CE5">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277CE5">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277CE5">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277CE5">
            <w:pPr>
              <w:spacing w:after="0" w:line="240" w:lineRule="auto"/>
              <w:jc w:val="center"/>
              <w:rPr>
                <w:bCs/>
                <w:color w:val="000000"/>
                <w:sz w:val="40"/>
                <w:szCs w:val="40"/>
                <w:lang w:eastAsia="es-CR"/>
              </w:rPr>
            </w:pPr>
          </w:p>
        </w:tc>
      </w:tr>
    </w:tbl>
    <w:p w:rsidR="00000000" w:rsidRDefault="00277CE5">
      <w:pPr>
        <w:jc w:val="right"/>
        <w:rPr>
          <w:rFonts w:cstheme="minorHAnsi"/>
          <w:bCs/>
          <w:sz w:val="20"/>
          <w:szCs w:val="20"/>
        </w:rPr>
      </w:pPr>
    </w:p>
    <w:sectPr w:rsidR="00000000">
      <w:headerReference w:type="default" r:id="rId8"/>
      <w:pgSz w:w="11907" w:h="1683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277CE5">
      <w:pPr>
        <w:spacing w:after="0" w:line="240" w:lineRule="auto"/>
      </w:pPr>
      <w:r>
        <w:separator/>
      </w:r>
    </w:p>
  </w:endnote>
  <w:endnote w:type="continuationSeparator" w:id="0">
    <w:p w:rsidR="00000000" w:rsidRDefault="0027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277CE5">
      <w:pPr>
        <w:spacing w:after="0" w:line="240" w:lineRule="auto"/>
      </w:pPr>
      <w:r>
        <w:separator/>
      </w:r>
    </w:p>
  </w:footnote>
  <w:footnote w:type="continuationSeparator" w:id="0">
    <w:p w:rsidR="00000000" w:rsidRDefault="00277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277CE5">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381B8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7E92DE1"/>
    <w:multiLevelType w:val="hybridMultilevel"/>
    <w:tmpl w:val="AAF05AA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16cid:durableId="1914125476">
    <w:abstractNumId w:val="0"/>
  </w:num>
  <w:num w:numId="2" w16cid:durableId="824315736">
    <w:abstractNumId w:val="0"/>
  </w:num>
  <w:num w:numId="3" w16cid:durableId="1388871459">
    <w:abstractNumId w:val="0"/>
    <w:lvlOverride w:ilvl="0"/>
  </w:num>
  <w:num w:numId="4" w16cid:durableId="776682490">
    <w:abstractNumId w:val="1"/>
  </w:num>
  <w:num w:numId="5" w16cid:durableId="81522509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CE5"/>
    <w:rsid w:val="00277CE5"/>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Pr>
      <w:color w:val="0000FF"/>
      <w:u w:val="single"/>
    </w:rPr>
  </w:style>
  <w:style w:type="character" w:styleId="Hipervnculovisitado">
    <w:name w:val="FollowedHyperlink"/>
    <w:basedOn w:val="Fuentedeprrafopredeter"/>
    <w:uiPriority w:val="99"/>
    <w:semiHidden/>
    <w:unhideWhenUsed/>
    <w:rPr>
      <w:color w:val="954F72" w:themeColor="followedHyperlink"/>
      <w:u w:val="single"/>
    </w:rPr>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E74B5" w:themeColor="accent1" w:themeShade="BF"/>
      <w:sz w:val="32"/>
      <w:szCs w:val="32"/>
    </w:rPr>
  </w:style>
  <w:style w:type="paragraph" w:customStyle="1" w:styleId="msonormal0">
    <w:name w:val="msonormal"/>
    <w:basedOn w:val="Normal"/>
    <w:uiPriority w:val="99"/>
    <w:semiHidden/>
    <w:rPr>
      <w:rFonts w:ascii="Times New Roman" w:hAnsi="Times New Roman" w:cs="Times New Roman"/>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style>
  <w:style w:type="paragraph" w:styleId="Piedepgina">
    <w:name w:val="footer"/>
    <w:basedOn w:val="Normal"/>
    <w:link w:val="PiedepginaCar"/>
    <w:uiPriority w:val="99"/>
    <w:semiHidden/>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style>
  <w:style w:type="paragraph" w:styleId="Descripcin">
    <w:name w:val="caption"/>
    <w:basedOn w:val="Normal"/>
    <w:next w:val="Normal"/>
    <w:uiPriority w:val="99"/>
    <w:semiHidden/>
    <w:unhideWhenUsed/>
    <w:qFormat/>
    <w:pPr>
      <w:spacing w:after="0" w:line="240" w:lineRule="auto"/>
      <w:jc w:val="right"/>
    </w:pPr>
    <w:rPr>
      <w:rFonts w:ascii="Comic Sans MS" w:eastAsia="Times New Roman" w:hAnsi="Comic Sans MS" w:cs="Times New Roman"/>
      <w:b/>
      <w:i/>
      <w:sz w:val="24"/>
      <w:szCs w:val="20"/>
      <w:lang w:val="es-ES_tradnl" w:eastAsia="es-ES"/>
    </w:rPr>
  </w:style>
  <w:style w:type="paragraph" w:styleId="Listaconvietas">
    <w:name w:val="List Bullet"/>
    <w:basedOn w:val="Normal"/>
    <w:uiPriority w:val="99"/>
    <w:semiHidden/>
    <w:unhideWhenUsed/>
    <w:pPr>
      <w:numPr>
        <w:numId w:val="3"/>
      </w:numPr>
      <w:contextualSpacing/>
    </w:p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Pr>
      <w:rFonts w:ascii="Segoe UI" w:hAnsi="Segoe UI" w:cs="Segoe UI" w:hint="default"/>
      <w:sz w:val="18"/>
      <w:szCs w:val="18"/>
    </w:rPr>
  </w:style>
  <w:style w:type="paragraph" w:styleId="Sinespaciado">
    <w:name w:val="No Spacing"/>
    <w:uiPriority w:val="1"/>
    <w:semiHidden/>
    <w:qFormat/>
    <w:rPr>
      <w:sz w:val="22"/>
      <w:szCs w:val="22"/>
    </w:rPr>
  </w:style>
  <w:style w:type="paragraph" w:styleId="Prrafodelista">
    <w:name w:val="List Paragraph"/>
    <w:basedOn w:val="Normal"/>
    <w:uiPriority w:val="34"/>
    <w:semiHidden/>
    <w:qFormat/>
    <w:pPr>
      <w:ind w:left="720"/>
      <w:contextualSpacing/>
    </w:pPr>
  </w:style>
  <w:style w:type="paragraph" w:customStyle="1" w:styleId="Default">
    <w:name w:val="Default"/>
    <w:uiPriority w:val="99"/>
    <w:semiHidden/>
    <w:pPr>
      <w:autoSpaceDE w:val="0"/>
      <w:autoSpaceDN w:val="0"/>
      <w:adjustRightInd w:val="0"/>
    </w:pPr>
    <w:rPr>
      <w:rFonts w:ascii="Arial" w:hAnsi="Arial" w:cs="Arial"/>
      <w:color w:val="000000"/>
      <w:sz w:val="24"/>
      <w:szCs w:val="24"/>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6">
    <w:name w:val="Grid Table 5 Dark Accent 6"/>
    <w:basedOn w:val="Tablanormal"/>
    <w:uiPriority w:val="50"/>
    <w:rPr>
      <w:rFonts w:ascii="Arial" w:eastAsia="Arial" w:hAnsi="Arial" w:cs="Arial"/>
      <w:sz w:val="22"/>
      <w:szCs w:val="22"/>
      <w:lang w:eastAsia="es-ES_tradnl"/>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decuadrcula4-nfasis21">
    <w:name w:val="Tabla de cuadrícula 4 - Énfasis 21"/>
    <w:basedOn w:val="Tablanormal"/>
    <w:uiPriority w:val="49"/>
    <w:rPr>
      <w:sz w:val="22"/>
      <w:szCs w:val="22"/>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4-nfasis41">
    <w:name w:val="Tabla de cuadrícula 4 - Énfasis 41"/>
    <w:basedOn w:val="Tablanormal"/>
    <w:uiPriority w:val="49"/>
    <w:rPr>
      <w:sz w:val="22"/>
      <w:szCs w:val="22"/>
    </w:r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1D2FF-81AC-4EAD-BA32-0B4CC6AD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2231</Characters>
  <Application>Microsoft Office Word</Application>
  <DocSecurity>0</DocSecurity>
  <Lines>18</Lines>
  <Paragraphs>5</Paragraphs>
  <ScaleCrop>false</ScaleCrop>
  <Company>Microsoft</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Hidalgo Madrigal</dc:creator>
  <cp:keywords/>
  <dc:description/>
  <cp:lastModifiedBy>David Eduarte Vargas</cp:lastModifiedBy>
  <cp:revision>2</cp:revision>
  <cp:lastPrinted>2019-08-06T21:41:00Z</cp:lastPrinted>
  <dcterms:created xsi:type="dcterms:W3CDTF">2022-05-13T20:06:00Z</dcterms:created>
  <dcterms:modified xsi:type="dcterms:W3CDTF">2022-05-13T20:06:00Z</dcterms:modified>
</cp:coreProperties>
</file>