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4"/>
        <w:gridCol w:w="3455"/>
        <w:gridCol w:w="3416"/>
        <w:gridCol w:w="532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1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CNE establece la condición de Alerta Naranja por continuidad de lluvias</w:t>
            </w:r>
          </w:p>
          <w:p w:rsidR="00000000" w:rsidRDefault="00971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</w:rPr>
              <w:drawing>
                <wp:inline distT="0" distB="0" distL="0" distR="0">
                  <wp:extent cx="6122670" cy="4763135"/>
                  <wp:effectExtent l="0" t="0" r="0" b="0"/>
                  <wp:docPr id="1" name="Imagen 3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76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7118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La CNE establece la condición de Alerta Naranja para el Pacífico Norte, Central 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Sur, y la parte Suroeste del Valle Central. Además, se establece la condición de Alerta Amarilla para el Valle Central, la Zona Norte y la Región Caribe.</w:t>
            </w:r>
          </w:p>
          <w:p w:rsidR="00000000" w:rsidRDefault="0097118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Durante la noche de ayer y madrugada de hoy, la CNE atendió 121 eventos de los cuales 23 fueron por in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undaciones y 17 deslizamientos.</w:t>
            </w:r>
          </w:p>
          <w:p w:rsidR="00000000" w:rsidRDefault="00971180">
            <w:pPr>
              <w:pStyle w:val="Prrafodelista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00000" w:rsidRDefault="00971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San José, 25 de agosto del 2021.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Producto de las lluvias de los últimos días, la saturación de los suelos en todo el territorio nacional, alcanzan niveles por encima del 60% de forma generalizada. Asimismo, la interacción </w:t>
            </w:r>
            <w:r>
              <w:rPr>
                <w:rFonts w:ascii="Arial" w:hAnsi="Arial" w:cs="Arial"/>
                <w:sz w:val="24"/>
                <w:szCs w:val="24"/>
              </w:rPr>
              <w:t>de la Zona de Convergencia Intertropical, así como el paso de las ondas tropicales #27 y #28 por nuestro país, provocarían aguaceros intensos y persistentes. Estos escenarios, motivan a que la Comisión Nacional de Prevención de Riesgos y Atención de Emerge</w:t>
            </w:r>
            <w:r>
              <w:rPr>
                <w:rFonts w:ascii="Arial" w:hAnsi="Arial" w:cs="Arial"/>
                <w:sz w:val="24"/>
                <w:szCs w:val="24"/>
              </w:rPr>
              <w:t xml:space="preserve">ncias (CNE) establezca </w:t>
            </w:r>
            <w:bookmarkStart w:id="1" w:name="_Hlk80786314"/>
            <w:r>
              <w:rPr>
                <w:rFonts w:ascii="Arial" w:hAnsi="Arial" w:cs="Arial"/>
                <w:sz w:val="24"/>
                <w:szCs w:val="24"/>
              </w:rPr>
              <w:t xml:space="preserve">la condición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Alerta Naranja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el Pacífico Norte, Central y Sur, y la parte Suroeste del Valle Central. Además, se establece la condición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Alerta Amarilla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el Valle Central, la Zona Norte y la Región Caribe.</w:t>
            </w:r>
            <w:bookmarkEnd w:id="1"/>
          </w:p>
          <w:p w:rsidR="00000000" w:rsidRDefault="00971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mañana el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Centro de Operaciones de Emergencias (COE) ampliado, sesionó junto a los Comité Municipal Emergencia (CME) con el fin de gestionar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las acciones preventivas e informativas que se realizarán de manera oportuna para salvaguardar la vida de las personas en su</w:t>
            </w:r>
            <w:r>
              <w:rPr>
                <w:rFonts w:ascii="Arial" w:hAnsi="Arial" w:cs="Arial"/>
                <w:sz w:val="24"/>
                <w:szCs w:val="24"/>
              </w:rPr>
              <w:t>s comunidades que podrían ser afectadas por las lluvias.</w:t>
            </w:r>
          </w:p>
          <w:p w:rsidR="00000000" w:rsidRDefault="00971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presidente de la CNE, Alexander Solís, manifestó que, “durante las últimas horas se ha dado seguimiento a la influencia que podría tener en nuestro país el paso de las ondas tropicales. Esto hace </w:t>
            </w:r>
            <w:r>
              <w:rPr>
                <w:rFonts w:ascii="Arial" w:hAnsi="Arial" w:cs="Arial"/>
                <w:sz w:val="24"/>
                <w:szCs w:val="24"/>
              </w:rPr>
              <w:t>que necesitemos extremar las medidas de prevención y de protección ante inundaciones, deslizamientos y otros eventos asociados justamente a la condición lluviosa que tendremos durante los próximos días.”</w:t>
            </w:r>
          </w:p>
          <w:p w:rsidR="00000000" w:rsidRDefault="00971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jerarca indicó que la CNE activó su personal oper</w:t>
            </w:r>
            <w:r>
              <w:rPr>
                <w:rFonts w:ascii="Arial" w:hAnsi="Arial" w:cs="Arial"/>
                <w:sz w:val="24"/>
                <w:szCs w:val="24"/>
              </w:rPr>
              <w:t>ativo para atender las afectaciones que se puedan presentar, y trabajan en estrecha coordinación con los CME.</w:t>
            </w:r>
          </w:p>
          <w:p w:rsidR="00000000" w:rsidRDefault="00971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informe emitido por el Instituto Meteorológico Nacional (IMN) pronostica un reforzamiento de las precipitaciones para la vertiente del Pacífico</w:t>
            </w:r>
            <w:r>
              <w:rPr>
                <w:rFonts w:ascii="Arial" w:hAnsi="Arial" w:cs="Arial"/>
                <w:sz w:val="24"/>
                <w:szCs w:val="24"/>
              </w:rPr>
              <w:t>, el Valle Central, las montañas del país, las partes bajas del Caribe Sur y Norte, la Zona Norte, sectores marítimos-costeros del Pacífico Central, Pacífico Sur y Península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Nicoya, y en las cercanías del Golfo Dulce y Península de Osa.</w:t>
            </w:r>
          </w:p>
          <w:p w:rsidR="00000000" w:rsidRDefault="00971180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Afectaciones por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lluvias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000000" w:rsidRDefault="00971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Durante la noche de ayer y madrugada de hoy, la CNE atendió 121 eventos de los cuales 23 fueron por inundaciones y 17 deslizamientos. El resto de los reportes corresponden a solicitudes de inspección por situaciones también generadas por las llu</w:t>
            </w:r>
            <w:r>
              <w:rPr>
                <w:rFonts w:ascii="Arial" w:hAnsi="Arial" w:cs="Arial"/>
                <w:sz w:val="24"/>
                <w:szCs w:val="24"/>
              </w:rPr>
              <w:t>vias.</w:t>
            </w:r>
          </w:p>
          <w:p w:rsidR="00000000" w:rsidRDefault="00971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contabilizan 34 cantones afectados, siendo la provincia de Alajuela la que presentó la mayor cantidad de eventos (ver cuadro). </w:t>
            </w:r>
          </w:p>
          <w:p w:rsidR="00000000" w:rsidRDefault="0097118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parte de las medidas preventivas, se habilitaron tres alojamientos temporales en La Isla, Moravia (13 personas), P</w:t>
            </w:r>
            <w:r>
              <w:rPr>
                <w:rFonts w:ascii="Arial" w:hAnsi="Arial" w:cs="Arial"/>
                <w:sz w:val="24"/>
                <w:szCs w:val="24"/>
              </w:rPr>
              <w:t>laya Negra, Santa Cruz (12 personas); y Quircot, Cartago (07 personas) para brindar una asistencia humanitaria y poner a salvo la vidas de las familias que afectadas por las lluvias.</w:t>
            </w:r>
          </w:p>
          <w:p w:rsidR="00000000" w:rsidRDefault="0097118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Llamado a la precaución</w:t>
            </w:r>
          </w:p>
          <w:p w:rsidR="00000000" w:rsidRDefault="00971180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000000" w:rsidRDefault="00971180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época lluviosa mantendrá las precipitaciones típicas de las condiciones. Aunado a esto, se pueden generar otros eventos climatológicos como las ondas tropicales que aumente las lluvias en el país.</w:t>
            </w:r>
          </w:p>
          <w:p w:rsidR="00000000" w:rsidRDefault="00971180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000000" w:rsidRDefault="00971180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 virtud de lo anterior, la CNE solicita a la població</w:t>
            </w:r>
            <w:r>
              <w:rPr>
                <w:rFonts w:ascii="Arial" w:hAnsi="Arial" w:cs="Arial"/>
                <w:sz w:val="24"/>
              </w:rPr>
              <w:t xml:space="preserve">n continuar con la vigilancia y precaución, principalmente en zonas con vulnerabilidad a inundaciones o deslizamientos por saturación de alcantarillado, y estar atentos al aumento del caudal en ríos y quebradas. </w:t>
            </w:r>
          </w:p>
          <w:p w:rsidR="00000000" w:rsidRDefault="00971180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:rsidR="00000000" w:rsidRDefault="00971180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Además, transitar con precaución en lugare</w:t>
            </w:r>
            <w:r>
              <w:rPr>
                <w:rFonts w:ascii="Arial" w:hAnsi="Arial" w:cs="Arial"/>
                <w:sz w:val="24"/>
              </w:rPr>
              <w:t>s con alta propensión a deslizamientos como rutas nacionales.</w:t>
            </w:r>
          </w:p>
          <w:p w:rsidR="00000000" w:rsidRDefault="00971180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ES_tradnl"/>
              </w:rPr>
            </w:pPr>
          </w:p>
          <w:p w:rsidR="00000000" w:rsidRDefault="00971180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  <w:r>
              <w:rPr>
                <w:rFonts w:ascii="Arial" w:eastAsia="Arial" w:hAnsi="Arial" w:cs="Arial"/>
                <w:lang w:eastAsia="es-ES_tradnl"/>
              </w:rPr>
              <w:t xml:space="preserve">Cuadro </w:t>
            </w:r>
          </w:p>
          <w:p w:rsidR="00000000" w:rsidRDefault="00971180">
            <w:pPr>
              <w:spacing w:after="0" w:line="240" w:lineRule="auto"/>
              <w:rPr>
                <w:rFonts w:ascii="Arial" w:eastAsia="Arial" w:hAnsi="Arial" w:cs="Arial"/>
                <w:lang w:eastAsia="es-ES_tradn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913630" cy="3689350"/>
                  <wp:effectExtent l="0" t="0" r="1270" b="6350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630" cy="368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1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1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1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1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1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1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7118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971180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971180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971180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971180">
      <w:pPr>
        <w:rPr>
          <w:lang w:val="es-ES"/>
        </w:rPr>
      </w:pPr>
    </w:p>
    <w:sectPr w:rsidR="00000000">
      <w:head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71180">
      <w:pPr>
        <w:spacing w:after="0" w:line="240" w:lineRule="auto"/>
      </w:pPr>
      <w:r>
        <w:separator/>
      </w:r>
    </w:p>
  </w:endnote>
  <w:endnote w:type="continuationSeparator" w:id="0">
    <w:p w:rsidR="00000000" w:rsidRDefault="009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71180">
      <w:pPr>
        <w:spacing w:after="0" w:line="240" w:lineRule="auto"/>
      </w:pPr>
      <w:r>
        <w:separator/>
      </w:r>
    </w:p>
  </w:footnote>
  <w:footnote w:type="continuationSeparator" w:id="0">
    <w:p w:rsidR="00000000" w:rsidRDefault="009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971180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6BC"/>
    <w:multiLevelType w:val="hybridMultilevel"/>
    <w:tmpl w:val="A936E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352808">
    <w:abstractNumId w:val="0"/>
  </w:num>
  <w:num w:numId="2" w16cid:durableId="17115701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80"/>
    <w:rsid w:val="009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2022-05-13T20:09:00Z</dcterms:created>
  <dcterms:modified xsi:type="dcterms:W3CDTF">2022-05-13T20:09:00Z</dcterms:modified>
</cp:coreProperties>
</file>