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"/>
        <w:gridCol w:w="807"/>
        <w:gridCol w:w="3102"/>
        <w:gridCol w:w="3048"/>
        <w:gridCol w:w="284"/>
        <w:gridCol w:w="266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CNE fortalece sus capacidades de respuesta ante el inicio de la temporada de ciclones tropicales 2021</w:t>
            </w:r>
          </w:p>
          <w:p w:rsidR="00000000" w:rsidRDefault="000C4DF9"/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bookmarkStart w:id="1" w:name="_Hlk73440956"/>
            <w:r>
              <w:rPr>
                <w:rFonts w:ascii="Arial" w:hAnsi="Arial" w:cs="Arial"/>
                <w:i/>
                <w:iCs/>
                <w:lang w:val="es-ES"/>
              </w:rPr>
              <w:t xml:space="preserve">CNE pide a la población a actualizar sus planes </w:t>
            </w:r>
            <w:r>
              <w:rPr>
                <w:rFonts w:ascii="Arial" w:hAnsi="Arial" w:cs="Arial"/>
                <w:i/>
                <w:iCs/>
                <w:lang w:val="es-ES"/>
              </w:rPr>
              <w:t>familiares de emergencia, en especial si viven en zonas de riesgo</w:t>
            </w:r>
            <w:bookmarkEnd w:id="1"/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CNE ha reforzado las bodegas regionales y locales con insumos de primera respuesta, así como disponer de una robusta red de monitoreo a zonas propensas</w:t>
            </w:r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Comités Comunales y Municipales dan se</w:t>
            </w:r>
            <w:r>
              <w:rPr>
                <w:rFonts w:ascii="Arial" w:hAnsi="Arial" w:cs="Arial"/>
                <w:i/>
                <w:iCs/>
                <w:lang w:val="es-ES"/>
              </w:rPr>
              <w:t>guimiento a más de 1.400 comunidades con riesgo de inundaciones o deslizamientos</w:t>
            </w:r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>Temporada 2021 no será tan activa como la del 2020, en la que se llegó a la cifra récord de 30 tormentas</w:t>
            </w:r>
          </w:p>
          <w:p w:rsidR="00000000" w:rsidRDefault="000C4DF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73436176"/>
            <w:r>
              <w:rPr>
                <w:rFonts w:ascii="Arial" w:hAnsi="Arial" w:cs="Arial"/>
                <w:b/>
                <w:i/>
              </w:rPr>
              <w:t>San José, 01 de junio del 2021</w:t>
            </w: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Este martes, como cada 01 de junio se </w:t>
            </w:r>
            <w:r>
              <w:rPr>
                <w:rFonts w:ascii="Arial" w:hAnsi="Arial" w:cs="Arial"/>
                <w:sz w:val="24"/>
                <w:szCs w:val="24"/>
              </w:rPr>
              <w:t>da por iniciada la temporada de Ciclones del Atlántico y Mar Caribe, por lo que la Comision Nacional de Prevención de Riesgos y Atención de Emergencias (CNE) y el Instituto Meteorológico Nacional (IMN) presentaron los pronósticos para el periodo 2021, en e</w:t>
            </w:r>
            <w:r>
              <w:rPr>
                <w:rFonts w:ascii="Arial" w:hAnsi="Arial" w:cs="Arial"/>
                <w:sz w:val="24"/>
                <w:szCs w:val="24"/>
              </w:rPr>
              <w:t xml:space="preserve">l que se pueden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registrar hasta 20  eventos, entre ellos, tormentas y huracanes.</w:t>
            </w:r>
            <w:bookmarkEnd w:id="2"/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el IMN, de los eventos proyectados para este año,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menos cinco de ellos podrían convertirse en huracán en categorías desde la 1 a la 5. </w:t>
            </w:r>
            <w:r>
              <w:rPr>
                <w:rFonts w:ascii="Arial" w:hAnsi="Arial" w:cs="Arial"/>
                <w:sz w:val="24"/>
                <w:szCs w:val="24"/>
              </w:rPr>
              <w:t>Ahora bien, no se tiene certeza</w:t>
            </w:r>
            <w:r>
              <w:rPr>
                <w:rFonts w:ascii="Arial" w:hAnsi="Arial" w:cs="Arial"/>
                <w:sz w:val="24"/>
                <w:szCs w:val="24"/>
              </w:rPr>
              <w:t xml:space="preserve"> si pudieran tener un impacto directo o indirecto sobre el territorio nacional.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este escenario, la CNE ha venido reforzando su capacidad operativa para atender de manera oportuna las situaciones que las lluvias puedan generar el país, en especial en a</w:t>
            </w:r>
            <w:r>
              <w:rPr>
                <w:rFonts w:ascii="Arial" w:hAnsi="Arial" w:cs="Arial"/>
                <w:sz w:val="24"/>
                <w:szCs w:val="24"/>
              </w:rPr>
              <w:t>quellas zonas (como el Pacífico) que año a año reciben los embates de los ciclones tropicales.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institución fortaleció sus equipos para el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monitoreo durante las 24 horas</w:t>
            </w:r>
            <w:r>
              <w:rPr>
                <w:rFonts w:ascii="Arial" w:hAnsi="Arial" w:cs="Arial"/>
                <w:sz w:val="24"/>
                <w:szCs w:val="24"/>
              </w:rPr>
              <w:t xml:space="preserve"> del día, mediante una moderna red de comunicación digital, lo que permitirá obtener </w:t>
            </w:r>
            <w:r>
              <w:rPr>
                <w:rFonts w:ascii="Arial" w:hAnsi="Arial" w:cs="Arial"/>
                <w:sz w:val="24"/>
                <w:szCs w:val="24"/>
              </w:rPr>
              <w:t>información de primera mano ante una emergencia.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Además, gracias a la colocación de más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650 radios</w:t>
            </w:r>
            <w:r>
              <w:rPr>
                <w:rFonts w:ascii="Arial" w:hAnsi="Arial" w:cs="Arial"/>
                <w:sz w:val="24"/>
                <w:szCs w:val="24"/>
              </w:rPr>
              <w:t xml:space="preserve"> por todo el país, principalmente en poblados cercanos a ríos o a zonas propensas a deslizamientos, se puede dar un seguimiento a las condiciones climática</w:t>
            </w:r>
            <w:r>
              <w:rPr>
                <w:rFonts w:ascii="Arial" w:hAnsi="Arial" w:cs="Arial"/>
                <w:sz w:val="24"/>
                <w:szCs w:val="24"/>
              </w:rPr>
              <w:t>s en esos sectores, dentro del Sistema de Alerta Temprana, que permite a la CNE la toma de decisiones en aras de proteger y asistir a las comunidades.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Sigifredo Pérez, director de Gestión del Riesgo, mencionó que los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Comités Municipales y Comunales de Emer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gencias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realizan vigilancia constante en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1 453 comunidades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identificadas como comunidades recurrentes a amenazas hidrometeorológicas,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además del apoyo de oficiales de enlace de la CNE distribuidos en todo el país.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“Hemos abastecido las bodegas regionales y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hemos habilitado bodegas en algunos cantones estratégicos para que, en caso de una emergencia, se cuente con suministros y equipos tales c</w:t>
            </w:r>
            <w:r>
              <w:rPr>
                <w:rFonts w:ascii="Arial" w:hAnsi="Arial" w:cs="Arial"/>
                <w:sz w:val="24"/>
                <w:szCs w:val="24"/>
              </w:rPr>
              <w:t>omo cobijas, espumas, motosierras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el sitio, de manera que la respuesta sea pronta” mencionó Pérez, quien recalcó q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ue la institución contempla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 bodegas</w:t>
            </w:r>
            <w:r>
              <w:rPr>
                <w:rFonts w:ascii="Arial" w:hAnsi="Arial" w:cs="Arial"/>
                <w:sz w:val="24"/>
                <w:szCs w:val="24"/>
              </w:rPr>
              <w:t xml:space="preserve"> y un inventario de instalaciones dispuestas como alojamientos temporales en cada cantón.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igual que en el 2020, las emergencias que se atiendan este año, deberán ser bajo los lineamientos sanitarios para la prevenci</w:t>
            </w:r>
            <w:r>
              <w:rPr>
                <w:rFonts w:ascii="Arial" w:hAnsi="Arial" w:cs="Arial"/>
                <w:sz w:val="24"/>
                <w:szCs w:val="24"/>
              </w:rPr>
              <w:t>ón de COVID-19, lo que lleva a la institución a prever albergues o centros de contención, así como mascarillas y otros insumos para prevenir el contagio.</w:t>
            </w:r>
          </w:p>
          <w:p w:rsidR="00000000" w:rsidRDefault="000C4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Llamado a la preparación</w:t>
            </w:r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CNE hace un llamado vehemente a la población para que realicen acciones senci</w:t>
            </w:r>
            <w:r>
              <w:rPr>
                <w:rFonts w:ascii="Arial" w:hAnsi="Arial" w:cs="Arial"/>
                <w:sz w:val="24"/>
                <w:szCs w:val="24"/>
              </w:rPr>
              <w:t>llas pero importantes como es la limpieza de canoas.</w:t>
            </w:r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Revisar el freno de los vehículos debido a las constantes lluvias en carretera</w:t>
            </w:r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los Comités de emergencia y los albergues temporales. </w:t>
            </w:r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CNE pide a la población actualizar sus planes familiares </w:t>
            </w:r>
            <w:r>
              <w:rPr>
                <w:rFonts w:ascii="Arial" w:hAnsi="Arial" w:cs="Arial"/>
                <w:sz w:val="24"/>
                <w:szCs w:val="24"/>
              </w:rPr>
              <w:t>de emergencia, en especial si viven en zonas de riesgo.</w:t>
            </w:r>
          </w:p>
          <w:p w:rsidR="00000000" w:rsidRDefault="000C4DF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empieza a llover, no dude de dirigirse hacia un albergue temporal en su territorio.</w:t>
            </w:r>
          </w:p>
          <w:p w:rsidR="00000000" w:rsidRDefault="000C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temporada más activa de los últimos años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Según los registros del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IMN, el año pasado fue la temporada que se alcanzaron y superaron varios récords. En total, 30 fenómenos se convirtieron en tormentas tropicales o huracanes, 17 de ellos tuvieron contacto con el continente americano y siete llegaron a ser huracán categoría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3,4 o 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“Siempre es importante estar preparando ante este tipo de fenómenos ya que podría percibirse un aumento en la actividad lluviosa”, mencionó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Eladio Solado, Jefe del departamento de Meteorología Sinóptica 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Aeronáutica, del IMN.</w:t>
            </w:r>
          </w:p>
          <w:p w:rsidR="00000000" w:rsidRDefault="000C4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Huracanes que tuvieron más impacto en Costa Rica en el 2020, fueron ETA e IOTA, que generaron una respuesta de los CMEs dejando daños en vivienda, caminos, y formas de vida.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F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0C4DF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0848"/>
    <w:multiLevelType w:val="hybridMultilevel"/>
    <w:tmpl w:val="C13C8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4888">
    <w:abstractNumId w:val="0"/>
  </w:num>
  <w:num w:numId="2" w16cid:durableId="10922376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F9"/>
    <w:rsid w:val="000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2022-05-13T20:09:00Z</dcterms:created>
  <dcterms:modified xsi:type="dcterms:W3CDTF">2022-05-13T20:09:00Z</dcterms:modified>
</cp:coreProperties>
</file>