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1"/>
        <w:gridCol w:w="1076"/>
        <w:gridCol w:w="3441"/>
        <w:gridCol w:w="3401"/>
        <w:gridCol w:w="550"/>
        <w:gridCol w:w="220"/>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7067C3">
            <w:pPr>
              <w:spacing w:after="0" w:line="240" w:lineRule="auto"/>
              <w:jc w:val="center"/>
              <w:rPr>
                <w:bCs/>
                <w:color w:val="000000"/>
                <w:sz w:val="40"/>
                <w:szCs w:val="40"/>
                <w:lang w:eastAsia="es-CR"/>
              </w:rPr>
            </w:pPr>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7067C3">
            <w:pPr>
              <w:rPr>
                <w:lang w:val="es-ES"/>
              </w:rPr>
            </w:pPr>
          </w:p>
          <w:p w:rsidR="00000000" w:rsidRDefault="007067C3">
            <w:pPr>
              <w:spacing w:after="0" w:line="240" w:lineRule="auto"/>
              <w:jc w:val="center"/>
              <w:rPr>
                <w:rFonts w:asciiTheme="majorHAnsi" w:eastAsiaTheme="majorEastAsia" w:hAnsiTheme="majorHAnsi" w:cstheme="majorBidi"/>
                <w:color w:val="2E74B5" w:themeColor="accent1" w:themeShade="BF"/>
                <w:sz w:val="36"/>
                <w:szCs w:val="36"/>
                <w:lang w:val="es-ES"/>
              </w:rPr>
            </w:pPr>
            <w:r>
              <w:rPr>
                <w:rFonts w:asciiTheme="majorHAnsi" w:eastAsiaTheme="majorEastAsia" w:hAnsiTheme="majorHAnsi" w:cstheme="majorBidi"/>
                <w:color w:val="2E74B5" w:themeColor="accent1" w:themeShade="BF"/>
                <w:sz w:val="36"/>
                <w:szCs w:val="36"/>
                <w:lang w:val="es-ES"/>
              </w:rPr>
              <w:t xml:space="preserve">CNE ha destinado </w:t>
            </w:r>
            <w:r>
              <w:rPr>
                <w:rFonts w:asciiTheme="majorHAnsi" w:eastAsiaTheme="majorEastAsia" w:hAnsiTheme="majorHAnsi" w:cstheme="majorBidi"/>
                <w:color w:val="2E74B5" w:themeColor="accent1" w:themeShade="BF"/>
                <w:sz w:val="36"/>
                <w:szCs w:val="36"/>
                <w:lang w:val="es-ES"/>
              </w:rPr>
              <w:t>₵</w:t>
            </w:r>
            <w:r>
              <w:rPr>
                <w:rFonts w:asciiTheme="majorHAnsi" w:eastAsiaTheme="majorEastAsia" w:hAnsiTheme="majorHAnsi" w:cstheme="majorBidi"/>
                <w:color w:val="2E74B5" w:themeColor="accent1" w:themeShade="BF"/>
                <w:sz w:val="36"/>
                <w:szCs w:val="36"/>
                <w:lang w:val="es-ES"/>
              </w:rPr>
              <w:t>1.914 millones para la emergencia generada por el temporal</w:t>
            </w:r>
          </w:p>
          <w:p w:rsidR="00000000" w:rsidRDefault="007067C3">
            <w:pPr>
              <w:rPr>
                <w:lang w:val="es-ES"/>
              </w:rPr>
            </w:pPr>
          </w:p>
          <w:p w:rsidR="00000000" w:rsidRDefault="007067C3">
            <w:pPr>
              <w:jc w:val="center"/>
              <w:rPr>
                <w:lang w:val="es-ES"/>
              </w:rPr>
            </w:pPr>
            <w:r>
              <w:rPr>
                <w:noProof/>
                <w:lang w:val="es-ES"/>
              </w:rPr>
              <w:drawing>
                <wp:inline distT="0" distB="0" distL="0" distR="0">
                  <wp:extent cx="6973570" cy="5231765"/>
                  <wp:effectExtent l="0" t="0" r="0" b="6985"/>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3570" cy="5231765"/>
                          </a:xfrm>
                          <a:prstGeom prst="rect">
                            <a:avLst/>
                          </a:prstGeom>
                          <a:noFill/>
                          <a:ln>
                            <a:noFill/>
                          </a:ln>
                        </pic:spPr>
                      </pic:pic>
                    </a:graphicData>
                  </a:graphic>
                </wp:inline>
              </w:drawing>
            </w:r>
          </w:p>
          <w:p w:rsidR="00000000" w:rsidRDefault="007067C3">
            <w:pPr>
              <w:pStyle w:val="Prrafodelista"/>
              <w:tabs>
                <w:tab w:val="left" w:pos="2880"/>
              </w:tabs>
              <w:spacing w:after="0" w:line="240" w:lineRule="auto"/>
              <w:jc w:val="both"/>
              <w:rPr>
                <w:rFonts w:ascii="Arial" w:hAnsi="Arial" w:cs="Arial"/>
                <w:b/>
                <w:bCs/>
                <w:i/>
                <w:sz w:val="20"/>
                <w:szCs w:val="20"/>
              </w:rPr>
            </w:pPr>
            <w:r>
              <w:rPr>
                <w:rFonts w:ascii="Arial" w:hAnsi="Arial" w:cs="Arial"/>
                <w:b/>
                <w:bCs/>
                <w:i/>
                <w:sz w:val="20"/>
                <w:szCs w:val="20"/>
              </w:rPr>
              <w:t>Imágenes con fines ilustrativos</w:t>
            </w:r>
          </w:p>
          <w:p w:rsidR="00000000" w:rsidRDefault="007067C3">
            <w:pPr>
              <w:pStyle w:val="Prrafodelista"/>
              <w:tabs>
                <w:tab w:val="left" w:pos="2880"/>
              </w:tabs>
              <w:spacing w:after="0" w:line="240" w:lineRule="auto"/>
              <w:jc w:val="both"/>
              <w:rPr>
                <w:rFonts w:ascii="Arial" w:hAnsi="Arial" w:cs="Arial"/>
                <w:i/>
              </w:rPr>
            </w:pPr>
          </w:p>
          <w:p w:rsidR="00000000" w:rsidRDefault="007067C3">
            <w:pPr>
              <w:pStyle w:val="Prrafodelista"/>
              <w:numPr>
                <w:ilvl w:val="0"/>
                <w:numId w:val="5"/>
              </w:numPr>
              <w:tabs>
                <w:tab w:val="left" w:pos="2880"/>
              </w:tabs>
              <w:spacing w:after="0" w:line="240" w:lineRule="auto"/>
              <w:jc w:val="both"/>
              <w:rPr>
                <w:rFonts w:ascii="Arial" w:hAnsi="Arial" w:cs="Arial"/>
                <w:i/>
              </w:rPr>
            </w:pPr>
            <w:r>
              <w:rPr>
                <w:rFonts w:ascii="Arial" w:hAnsi="Arial" w:cs="Arial"/>
                <w:i/>
              </w:rPr>
              <w:t xml:space="preserve">Institución tramita 125 contrataciones </w:t>
            </w:r>
            <w:r>
              <w:rPr>
                <w:rFonts w:ascii="Arial" w:hAnsi="Arial" w:cs="Arial"/>
                <w:i/>
              </w:rPr>
              <w:t>de maquinaria para limpieza de caminos, ríos y reparación de diques en varios cantones por medio de SICOP o Reglamento Interno.</w:t>
            </w:r>
          </w:p>
          <w:p w:rsidR="00000000" w:rsidRDefault="007067C3">
            <w:pPr>
              <w:pStyle w:val="Prrafodelista"/>
              <w:tabs>
                <w:tab w:val="left" w:pos="2880"/>
              </w:tabs>
              <w:spacing w:after="0" w:line="240" w:lineRule="auto"/>
              <w:jc w:val="both"/>
              <w:rPr>
                <w:rFonts w:ascii="Arial" w:hAnsi="Arial" w:cs="Arial"/>
                <w:i/>
              </w:rPr>
            </w:pPr>
          </w:p>
          <w:p w:rsidR="00000000" w:rsidRDefault="007067C3">
            <w:pPr>
              <w:pStyle w:val="Prrafodelista"/>
              <w:numPr>
                <w:ilvl w:val="0"/>
                <w:numId w:val="5"/>
              </w:numPr>
              <w:tabs>
                <w:tab w:val="left" w:pos="2880"/>
              </w:tabs>
              <w:spacing w:after="0" w:line="240" w:lineRule="auto"/>
              <w:jc w:val="both"/>
              <w:rPr>
                <w:rFonts w:ascii="Arial" w:hAnsi="Arial" w:cs="Arial"/>
                <w:i/>
              </w:rPr>
            </w:pPr>
            <w:r>
              <w:rPr>
                <w:rFonts w:ascii="Arial" w:hAnsi="Arial" w:cs="Arial"/>
                <w:i/>
              </w:rPr>
              <w:t>Mediante el Sistema Integrado de Compras Públicas (SICOP) realiza 116 contrataciones de las cuales 74 están adjudicadas mediant</w:t>
            </w:r>
            <w:r>
              <w:rPr>
                <w:rFonts w:ascii="Arial" w:hAnsi="Arial" w:cs="Arial"/>
                <w:i/>
              </w:rPr>
              <w:t>e SICOP y 9 contrataciones restantes fueron contratadas mediante el artículo 34 BIS del Reglamento Interno.</w:t>
            </w:r>
          </w:p>
          <w:p w:rsidR="00000000" w:rsidRDefault="007067C3">
            <w:pPr>
              <w:pStyle w:val="Prrafodelista"/>
              <w:tabs>
                <w:tab w:val="left" w:pos="2880"/>
              </w:tabs>
              <w:spacing w:after="0" w:line="240" w:lineRule="auto"/>
              <w:jc w:val="both"/>
              <w:rPr>
                <w:rFonts w:ascii="Arial" w:hAnsi="Arial" w:cs="Arial"/>
                <w:i/>
              </w:rPr>
            </w:pPr>
          </w:p>
          <w:p w:rsidR="00000000" w:rsidRDefault="007067C3">
            <w:pPr>
              <w:pStyle w:val="Prrafodelista"/>
              <w:numPr>
                <w:ilvl w:val="0"/>
                <w:numId w:val="5"/>
              </w:numPr>
              <w:tabs>
                <w:tab w:val="left" w:pos="2880"/>
              </w:tabs>
              <w:spacing w:after="0" w:line="240" w:lineRule="auto"/>
              <w:jc w:val="both"/>
              <w:rPr>
                <w:rFonts w:ascii="Arial" w:hAnsi="Arial" w:cs="Arial"/>
                <w:i/>
              </w:rPr>
            </w:pPr>
            <w:r>
              <w:rPr>
                <w:rFonts w:ascii="Arial" w:hAnsi="Arial" w:cs="Arial"/>
                <w:i/>
              </w:rPr>
              <w:t>Además, se invirtió en la compra de alimentos para más de 19.000 familias afectadas por las lluvias en Caribe, Zona Norte y Turrialba</w:t>
            </w:r>
          </w:p>
          <w:p w:rsidR="00000000" w:rsidRDefault="007067C3">
            <w:pPr>
              <w:pStyle w:val="Prrafodelista"/>
              <w:tabs>
                <w:tab w:val="left" w:pos="2880"/>
              </w:tabs>
              <w:spacing w:after="0" w:line="240" w:lineRule="auto"/>
              <w:jc w:val="both"/>
              <w:rPr>
                <w:rFonts w:ascii="Arial" w:hAnsi="Arial" w:cs="Arial"/>
                <w:i/>
              </w:rPr>
            </w:pPr>
          </w:p>
          <w:p w:rsidR="00000000" w:rsidRDefault="007067C3">
            <w:pPr>
              <w:pStyle w:val="Prrafodelista"/>
              <w:numPr>
                <w:ilvl w:val="0"/>
                <w:numId w:val="5"/>
              </w:numPr>
              <w:tabs>
                <w:tab w:val="left" w:pos="2880"/>
              </w:tabs>
              <w:spacing w:after="0" w:line="240" w:lineRule="auto"/>
              <w:jc w:val="both"/>
              <w:rPr>
                <w:rFonts w:ascii="Arial" w:hAnsi="Arial" w:cs="Arial"/>
                <w:i/>
              </w:rPr>
            </w:pPr>
            <w:r>
              <w:rPr>
                <w:rFonts w:ascii="Arial" w:hAnsi="Arial" w:cs="Arial"/>
                <w:i/>
              </w:rPr>
              <w:t xml:space="preserve">Cerca de 35 </w:t>
            </w:r>
            <w:r>
              <w:rPr>
                <w:rFonts w:ascii="Arial" w:hAnsi="Arial" w:cs="Arial"/>
                <w:i/>
              </w:rPr>
              <w:t xml:space="preserve">empresas participan en la rehabilitación de caminos, diques, limpieza de ríos, entre otros. </w:t>
            </w:r>
          </w:p>
          <w:p w:rsidR="00000000" w:rsidRDefault="007067C3">
            <w:pPr>
              <w:pStyle w:val="Prrafodelista"/>
              <w:tabs>
                <w:tab w:val="left" w:pos="2880"/>
              </w:tabs>
              <w:spacing w:after="0" w:line="240" w:lineRule="auto"/>
              <w:jc w:val="both"/>
              <w:rPr>
                <w:rFonts w:ascii="Arial" w:hAnsi="Arial" w:cs="Arial"/>
                <w:bCs/>
                <w:i/>
                <w:iCs/>
                <w:sz w:val="20"/>
                <w:szCs w:val="20"/>
                <w:lang w:val="es-ES"/>
              </w:rPr>
            </w:pPr>
          </w:p>
          <w:p w:rsidR="00000000" w:rsidRDefault="007067C3">
            <w:pPr>
              <w:tabs>
                <w:tab w:val="left" w:pos="2880"/>
              </w:tabs>
              <w:spacing w:after="0" w:line="240" w:lineRule="auto"/>
              <w:jc w:val="both"/>
              <w:rPr>
                <w:rFonts w:ascii="Arial" w:hAnsi="Arial" w:cs="Arial"/>
                <w:bCs/>
                <w:i/>
                <w:iCs/>
                <w:sz w:val="20"/>
                <w:szCs w:val="20"/>
                <w:lang w:val="es-ES"/>
              </w:rPr>
            </w:pPr>
          </w:p>
          <w:p w:rsidR="00000000" w:rsidRDefault="007067C3">
            <w:pPr>
              <w:tabs>
                <w:tab w:val="left" w:pos="2880"/>
              </w:tabs>
              <w:spacing w:after="0" w:line="240" w:lineRule="auto"/>
              <w:jc w:val="both"/>
              <w:rPr>
                <w:rFonts w:ascii="Arial" w:hAnsi="Arial" w:cs="Arial"/>
                <w:bCs/>
                <w:i/>
                <w:iCs/>
                <w:sz w:val="20"/>
                <w:szCs w:val="20"/>
                <w:lang w:val="es-ES"/>
              </w:rPr>
            </w:pPr>
          </w:p>
          <w:p w:rsidR="00000000" w:rsidRDefault="007067C3">
            <w:pPr>
              <w:pStyle w:val="Prrafodelista"/>
              <w:spacing w:after="0" w:line="240" w:lineRule="auto"/>
              <w:rPr>
                <w:rFonts w:ascii="Arial" w:hAnsi="Arial" w:cs="Arial"/>
                <w:bCs/>
                <w:i/>
                <w:iCs/>
                <w:sz w:val="20"/>
                <w:szCs w:val="20"/>
                <w:lang w:val="es-ES"/>
              </w:rPr>
            </w:pPr>
          </w:p>
          <w:p w:rsidR="00000000" w:rsidRDefault="007067C3">
            <w:pPr>
              <w:jc w:val="both"/>
              <w:rPr>
                <w:rFonts w:ascii="Arial" w:eastAsia="Arial" w:hAnsi="Arial" w:cs="Arial"/>
                <w:sz w:val="24"/>
                <w:szCs w:val="44"/>
                <w:lang w:val="es-ES" w:eastAsia="es-ES"/>
              </w:rPr>
            </w:pPr>
            <w:r>
              <w:rPr>
                <w:rFonts w:ascii="Arial" w:hAnsi="Arial" w:cs="Arial"/>
                <w:b/>
                <w:bCs/>
                <w:szCs w:val="24"/>
              </w:rPr>
              <w:t>San José, 16 de agosto de 2021.</w:t>
            </w:r>
            <w:r>
              <w:rPr>
                <w:rFonts w:ascii="Arial" w:hAnsi="Arial" w:cs="Arial"/>
                <w:szCs w:val="24"/>
              </w:rPr>
              <w:t xml:space="preserve"> </w:t>
            </w:r>
            <w:r>
              <w:rPr>
                <w:rFonts w:ascii="Arial" w:eastAsia="Arial" w:hAnsi="Arial" w:cs="Arial"/>
                <w:sz w:val="24"/>
                <w:szCs w:val="44"/>
                <w:lang w:val="es-ES" w:eastAsia="es-ES"/>
              </w:rPr>
              <w:t xml:space="preserve">Con </w:t>
            </w:r>
            <w:r>
              <w:rPr>
                <w:rFonts w:ascii="Arial" w:eastAsia="Arial" w:hAnsi="Arial" w:cs="Arial"/>
                <w:sz w:val="24"/>
                <w:szCs w:val="44"/>
                <w:lang w:val="es-ES" w:eastAsia="es-ES"/>
              </w:rPr>
              <w:t>una inversión de 1.914 millones de colones, la Comisión Nacional de Prevención de Riesgos y Atención de Emergencias (CNE) continúa con la atención a los cantones que resultaron con afectación directa o indirecta del temporal de finales del mes de julio e i</w:t>
            </w:r>
            <w:r>
              <w:rPr>
                <w:rFonts w:ascii="Arial" w:eastAsia="Arial" w:hAnsi="Arial" w:cs="Arial"/>
                <w:sz w:val="24"/>
                <w:szCs w:val="44"/>
                <w:lang w:val="es-ES" w:eastAsia="es-ES"/>
              </w:rPr>
              <w:t xml:space="preserve">nicios de agosto mediante la alimentación y la contratación de maquinaria para la intervención de zonas impactadas. </w:t>
            </w:r>
          </w:p>
          <w:p w:rsidR="00000000" w:rsidRDefault="007067C3">
            <w:pPr>
              <w:jc w:val="both"/>
              <w:rPr>
                <w:rFonts w:ascii="Arial" w:eastAsia="Arial" w:hAnsi="Arial" w:cs="Arial"/>
                <w:sz w:val="24"/>
                <w:szCs w:val="44"/>
                <w:lang w:val="es-ES" w:eastAsia="es-ES"/>
              </w:rPr>
            </w:pPr>
            <w:r>
              <w:rPr>
                <w:rFonts w:ascii="Arial" w:eastAsia="Arial" w:hAnsi="Arial" w:cs="Arial"/>
                <w:sz w:val="24"/>
                <w:szCs w:val="44"/>
                <w:lang w:val="es-ES" w:eastAsia="es-ES"/>
              </w:rPr>
              <w:t xml:space="preserve">En estos momentos, </w:t>
            </w:r>
            <w:r>
              <w:rPr>
                <w:rFonts w:ascii="Arial" w:eastAsia="Arial" w:hAnsi="Arial" w:cs="Arial"/>
                <w:b/>
                <w:bCs/>
                <w:sz w:val="24"/>
                <w:szCs w:val="44"/>
                <w:lang w:val="es-ES" w:eastAsia="es-ES"/>
              </w:rPr>
              <w:t>se están tramitando 125 contrataciones de maquinaria</w:t>
            </w:r>
            <w:r>
              <w:rPr>
                <w:rFonts w:ascii="Arial" w:eastAsia="Arial" w:hAnsi="Arial" w:cs="Arial"/>
                <w:sz w:val="24"/>
                <w:szCs w:val="44"/>
                <w:lang w:val="es-ES" w:eastAsia="es-ES"/>
              </w:rPr>
              <w:t xml:space="preserve"> para la limpieza de ríos y rutas cantonales, rehabilitación de diqu</w:t>
            </w:r>
            <w:r>
              <w:rPr>
                <w:rFonts w:ascii="Arial" w:eastAsia="Arial" w:hAnsi="Arial" w:cs="Arial"/>
                <w:sz w:val="24"/>
                <w:szCs w:val="44"/>
                <w:lang w:val="es-ES" w:eastAsia="es-ES"/>
              </w:rPr>
              <w:t xml:space="preserve">es, remoción de árboles y obras de protección.  </w:t>
            </w:r>
          </w:p>
          <w:p w:rsidR="00000000" w:rsidRDefault="007067C3">
            <w:pPr>
              <w:jc w:val="both"/>
              <w:rPr>
                <w:rFonts w:ascii="Arial" w:eastAsia="Arial" w:hAnsi="Arial" w:cs="Arial"/>
                <w:sz w:val="24"/>
                <w:szCs w:val="44"/>
                <w:lang w:val="es-ES" w:eastAsia="es-ES"/>
              </w:rPr>
            </w:pPr>
            <w:r>
              <w:rPr>
                <w:rFonts w:ascii="Arial" w:eastAsia="Arial" w:hAnsi="Arial" w:cs="Arial"/>
                <w:sz w:val="24"/>
                <w:szCs w:val="44"/>
                <w:lang w:val="es-ES" w:eastAsia="es-ES"/>
              </w:rPr>
              <w:t>Estas contrataciones se requieren de forma urgente para remover derrumbes y estabilización de taludes para la apertura de caminos que permitan a las personas transitar hacia sus trabajos, comercializar sus p</w:t>
            </w:r>
            <w:r>
              <w:rPr>
                <w:rFonts w:ascii="Arial" w:eastAsia="Arial" w:hAnsi="Arial" w:cs="Arial"/>
                <w:sz w:val="24"/>
                <w:szCs w:val="44"/>
                <w:lang w:val="es-ES" w:eastAsia="es-ES"/>
              </w:rPr>
              <w:t>roductos, asistir a compromisos médicos y otras actividades primordiales para garantizar la continuidad del diario vivir de las personas.</w:t>
            </w:r>
          </w:p>
          <w:p w:rsidR="00000000" w:rsidRDefault="007067C3">
            <w:pPr>
              <w:jc w:val="both"/>
              <w:rPr>
                <w:rFonts w:ascii="Arial" w:eastAsia="Arial" w:hAnsi="Arial" w:cs="Arial"/>
                <w:sz w:val="24"/>
                <w:szCs w:val="44"/>
                <w:lang w:eastAsia="es-ES"/>
              </w:rPr>
            </w:pPr>
            <w:r>
              <w:rPr>
                <w:rFonts w:ascii="Arial" w:eastAsia="Arial" w:hAnsi="Arial" w:cs="Arial"/>
                <w:sz w:val="24"/>
                <w:szCs w:val="44"/>
                <w:lang w:val="es-ES" w:eastAsia="es-ES"/>
              </w:rPr>
              <w:t xml:space="preserve">De todos estos trámites, 116 se han llevado a cabo por medio del </w:t>
            </w:r>
            <w:r>
              <w:rPr>
                <w:rFonts w:ascii="Arial" w:eastAsia="Arial" w:hAnsi="Arial" w:cs="Arial"/>
                <w:sz w:val="24"/>
                <w:szCs w:val="44"/>
                <w:lang w:eastAsia="es-ES"/>
              </w:rPr>
              <w:t>Sistema Integrado de Compras Públicas (SICOP), los cu</w:t>
            </w:r>
            <w:r>
              <w:rPr>
                <w:rFonts w:ascii="Arial" w:eastAsia="Arial" w:hAnsi="Arial" w:cs="Arial"/>
                <w:sz w:val="24"/>
                <w:szCs w:val="44"/>
                <w:lang w:eastAsia="es-ES"/>
              </w:rPr>
              <w:t>ales pueden ser consultados por la población en dicha plataforma.</w:t>
            </w:r>
            <w:r>
              <w:rPr>
                <w:rFonts w:ascii="Arial" w:eastAsia="Arial" w:hAnsi="Arial" w:cs="Arial"/>
                <w:sz w:val="24"/>
                <w:szCs w:val="44"/>
                <w:lang w:val="es-ES" w:eastAsia="es-ES"/>
              </w:rPr>
              <w:t xml:space="preserve">  Del total de solicitudes, ya fueron </w:t>
            </w:r>
            <w:r>
              <w:rPr>
                <w:rFonts w:ascii="Arial" w:eastAsia="Arial" w:hAnsi="Arial" w:cs="Arial"/>
                <w:b/>
                <w:bCs/>
                <w:sz w:val="24"/>
                <w:szCs w:val="44"/>
                <w:lang w:val="es-ES" w:eastAsia="es-ES"/>
              </w:rPr>
              <w:t>aprobadas 74 contrataciones</w:t>
            </w:r>
            <w:r>
              <w:rPr>
                <w:rFonts w:ascii="Arial" w:eastAsia="Arial" w:hAnsi="Arial" w:cs="Arial"/>
                <w:sz w:val="24"/>
                <w:szCs w:val="44"/>
                <w:lang w:val="es-ES" w:eastAsia="es-ES"/>
              </w:rPr>
              <w:t xml:space="preserve"> por un monto de </w:t>
            </w:r>
            <w:r>
              <w:rPr>
                <w:rFonts w:ascii="Arial" w:eastAsia="Arial" w:hAnsi="Arial" w:cs="Arial"/>
                <w:sz w:val="24"/>
                <w:szCs w:val="44"/>
                <w:lang w:val="es-ES" w:eastAsia="es-ES"/>
              </w:rPr>
              <w:t>₵</w:t>
            </w:r>
            <w:r>
              <w:rPr>
                <w:rFonts w:ascii="Arial" w:eastAsia="Arial" w:hAnsi="Arial" w:cs="Arial"/>
                <w:sz w:val="24"/>
                <w:szCs w:val="44"/>
                <w:lang w:val="es-ES" w:eastAsia="es-ES"/>
              </w:rPr>
              <w:t xml:space="preserve">1035,029,964,28. </w:t>
            </w:r>
            <w:r>
              <w:rPr>
                <w:rFonts w:ascii="Arial" w:eastAsia="Arial" w:hAnsi="Arial" w:cs="Arial"/>
                <w:sz w:val="24"/>
                <w:szCs w:val="44"/>
                <w:lang w:eastAsia="es-ES"/>
              </w:rPr>
              <w:t xml:space="preserve">Otros </w:t>
            </w:r>
            <w:r>
              <w:rPr>
                <w:rFonts w:ascii="Arial" w:eastAsia="Arial" w:hAnsi="Arial" w:cs="Arial"/>
                <w:b/>
                <w:bCs/>
                <w:sz w:val="24"/>
                <w:szCs w:val="44"/>
                <w:lang w:eastAsia="es-ES"/>
              </w:rPr>
              <w:t xml:space="preserve">51 trámites se mantienen en revisión y estudio </w:t>
            </w:r>
            <w:r>
              <w:rPr>
                <w:rFonts w:ascii="Arial" w:eastAsia="Arial" w:hAnsi="Arial" w:cs="Arial"/>
                <w:sz w:val="24"/>
                <w:szCs w:val="44"/>
                <w:lang w:eastAsia="es-ES"/>
              </w:rPr>
              <w:t xml:space="preserve">de ofertas y </w:t>
            </w:r>
            <w:r>
              <w:rPr>
                <w:rFonts w:ascii="Arial" w:eastAsia="Arial" w:hAnsi="Arial" w:cs="Arial"/>
                <w:sz w:val="24"/>
                <w:szCs w:val="44"/>
                <w:lang w:eastAsia="es-ES"/>
              </w:rPr>
              <w:t>20 procesos fueron declarados infructuosos.</w:t>
            </w:r>
          </w:p>
          <w:p w:rsidR="00000000" w:rsidRDefault="007067C3">
            <w:pPr>
              <w:jc w:val="both"/>
              <w:rPr>
                <w:rFonts w:ascii="Arial" w:eastAsia="Arial" w:hAnsi="Arial" w:cs="Arial"/>
                <w:sz w:val="24"/>
                <w:szCs w:val="44"/>
                <w:lang w:val="es-ES" w:eastAsia="es-ES"/>
              </w:rPr>
            </w:pPr>
            <w:r>
              <w:rPr>
                <w:rFonts w:ascii="Arial" w:eastAsia="Arial" w:hAnsi="Arial" w:cs="Arial"/>
                <w:sz w:val="24"/>
                <w:szCs w:val="44"/>
                <w:lang w:val="es-ES" w:eastAsia="es-ES"/>
              </w:rPr>
              <w:t xml:space="preserve">Por otra parte, las </w:t>
            </w:r>
            <w:r>
              <w:rPr>
                <w:rFonts w:ascii="Arial" w:eastAsia="Arial" w:hAnsi="Arial" w:cs="Arial"/>
                <w:b/>
                <w:bCs/>
                <w:sz w:val="24"/>
                <w:szCs w:val="44"/>
                <w:lang w:val="es-ES" w:eastAsia="es-ES"/>
              </w:rPr>
              <w:t>nueve contrataciones restantes se realizaron de manera directa</w:t>
            </w:r>
            <w:r>
              <w:rPr>
                <w:rFonts w:ascii="Arial" w:eastAsia="Arial" w:hAnsi="Arial" w:cs="Arial"/>
                <w:sz w:val="24"/>
                <w:szCs w:val="44"/>
                <w:lang w:val="es-ES" w:eastAsia="es-ES"/>
              </w:rPr>
              <w:t>, según el Reglamento Interno de la Proveeduría, tal y como lo permite el artículo 34 BIS.</w:t>
            </w:r>
            <w:r>
              <w:rPr>
                <w:rFonts w:ascii="Arial" w:eastAsia="Arial" w:hAnsi="Arial" w:cs="Arial"/>
                <w:b/>
                <w:bCs/>
                <w:sz w:val="44"/>
                <w:szCs w:val="96"/>
                <w:lang w:val="es-ES" w:eastAsia="es-ES"/>
              </w:rPr>
              <w:t xml:space="preserve"> </w:t>
            </w:r>
            <w:r>
              <w:rPr>
                <w:rFonts w:ascii="Arial" w:eastAsia="Arial" w:hAnsi="Arial" w:cs="Arial"/>
                <w:sz w:val="24"/>
                <w:szCs w:val="44"/>
                <w:lang w:val="es-ES" w:eastAsia="es-ES"/>
              </w:rPr>
              <w:t>Estas últimas contrataciones fueron adj</w:t>
            </w:r>
            <w:r>
              <w:rPr>
                <w:rFonts w:ascii="Arial" w:eastAsia="Arial" w:hAnsi="Arial" w:cs="Arial"/>
                <w:sz w:val="24"/>
                <w:szCs w:val="44"/>
                <w:lang w:val="es-ES" w:eastAsia="es-ES"/>
              </w:rPr>
              <w:t xml:space="preserve">udicadas </w:t>
            </w:r>
            <w:r>
              <w:rPr>
                <w:rFonts w:ascii="Arial" w:eastAsia="Arial" w:hAnsi="Arial" w:cs="Arial"/>
                <w:b/>
                <w:bCs/>
                <w:sz w:val="24"/>
                <w:szCs w:val="44"/>
                <w:lang w:val="es-ES" w:eastAsia="es-ES"/>
              </w:rPr>
              <w:t xml:space="preserve">por un total de 2.300 horas, </w:t>
            </w:r>
            <w:r>
              <w:rPr>
                <w:rFonts w:ascii="Arial" w:eastAsia="Arial" w:hAnsi="Arial" w:cs="Arial"/>
                <w:sz w:val="24"/>
                <w:szCs w:val="44"/>
                <w:lang w:val="es-ES" w:eastAsia="es-ES"/>
              </w:rPr>
              <w:t>en sitios tales</w:t>
            </w:r>
            <w:r>
              <w:rPr>
                <w:rFonts w:ascii="Arial" w:eastAsia="Arial" w:hAnsi="Arial" w:cs="Arial"/>
                <w:b/>
                <w:bCs/>
                <w:sz w:val="24"/>
                <w:szCs w:val="44"/>
                <w:lang w:val="es-ES" w:eastAsia="es-ES"/>
              </w:rPr>
              <w:t xml:space="preserve"> </w:t>
            </w:r>
            <w:r>
              <w:rPr>
                <w:rFonts w:ascii="Arial" w:eastAsia="Arial" w:hAnsi="Arial" w:cs="Arial"/>
                <w:sz w:val="24"/>
                <w:szCs w:val="44"/>
                <w:lang w:val="es-ES" w:eastAsia="es-ES"/>
              </w:rPr>
              <w:t xml:space="preserve">como La Amapola en Guatuso, camino hacia Roca Quemada en Turrialba, limpieza sobre el Rio Tuis y Aquiares así como intervenciones en Cahuita, Talamanca, específicamente en Playa Negra y Tuba Creek.  </w:t>
            </w:r>
          </w:p>
          <w:p w:rsidR="00000000" w:rsidRDefault="007067C3">
            <w:pPr>
              <w:jc w:val="center"/>
              <w:rPr>
                <w:rFonts w:ascii="Arial" w:eastAsia="Arial" w:hAnsi="Arial" w:cs="Arial"/>
                <w:sz w:val="24"/>
                <w:szCs w:val="44"/>
                <w:lang w:val="es-ES" w:eastAsia="es-ES"/>
              </w:rPr>
            </w:pPr>
            <w:r>
              <w:rPr>
                <w:rFonts w:ascii="Arial" w:eastAsia="Arial" w:hAnsi="Arial" w:cs="Arial"/>
                <w:noProof/>
                <w:sz w:val="24"/>
                <w:szCs w:val="44"/>
                <w:lang w:val="es-ES" w:eastAsia="es-ES"/>
              </w:rPr>
              <w:drawing>
                <wp:inline distT="0" distB="0" distL="0" distR="0">
                  <wp:extent cx="6432550" cy="3029585"/>
                  <wp:effectExtent l="0" t="0" r="635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2550" cy="3029585"/>
                          </a:xfrm>
                          <a:prstGeom prst="rect">
                            <a:avLst/>
                          </a:prstGeom>
                          <a:noFill/>
                          <a:ln>
                            <a:noFill/>
                          </a:ln>
                        </pic:spPr>
                      </pic:pic>
                    </a:graphicData>
                  </a:graphic>
                </wp:inline>
              </w:drawing>
            </w:r>
          </w:p>
          <w:p w:rsidR="00000000" w:rsidRDefault="007067C3">
            <w:pPr>
              <w:tabs>
                <w:tab w:val="left" w:pos="2880"/>
              </w:tabs>
              <w:spacing w:after="0" w:line="240" w:lineRule="auto"/>
              <w:jc w:val="both"/>
              <w:rPr>
                <w:rFonts w:ascii="Arial" w:hAnsi="Arial" w:cs="Arial"/>
                <w:b/>
                <w:bCs/>
                <w:i/>
                <w:sz w:val="20"/>
                <w:szCs w:val="20"/>
              </w:rPr>
            </w:pPr>
            <w:r>
              <w:rPr>
                <w:rFonts w:ascii="Arial" w:hAnsi="Arial" w:cs="Arial"/>
                <w:b/>
                <w:bCs/>
                <w:i/>
                <w:sz w:val="20"/>
                <w:szCs w:val="20"/>
              </w:rPr>
              <w:t>Imágenes con fines ilustrativos</w:t>
            </w:r>
          </w:p>
          <w:p w:rsidR="00000000" w:rsidRDefault="007067C3">
            <w:pPr>
              <w:jc w:val="both"/>
              <w:rPr>
                <w:rFonts w:ascii="Arial" w:eastAsia="Arial" w:hAnsi="Arial" w:cs="Arial"/>
                <w:sz w:val="24"/>
                <w:szCs w:val="44"/>
                <w:lang w:val="es-ES" w:eastAsia="es-ES"/>
              </w:rPr>
            </w:pPr>
          </w:p>
          <w:p w:rsidR="00000000" w:rsidRDefault="007067C3">
            <w:pPr>
              <w:jc w:val="both"/>
              <w:rPr>
                <w:rFonts w:ascii="Arial" w:eastAsia="Arial" w:hAnsi="Arial" w:cs="Arial"/>
                <w:sz w:val="24"/>
                <w:szCs w:val="44"/>
                <w:lang w:val="es-ES" w:eastAsia="es-ES"/>
              </w:rPr>
            </w:pPr>
            <w:r>
              <w:rPr>
                <w:rFonts w:ascii="Arial" w:eastAsia="Arial" w:hAnsi="Arial" w:cs="Arial"/>
                <w:sz w:val="24"/>
                <w:szCs w:val="44"/>
                <w:lang w:val="es-ES" w:eastAsia="es-ES"/>
              </w:rPr>
              <w:t>Alexander Solís, presidente de la CNE, manifestó que “con la adjudicación de empresas se prevé el aseguramiento de obras hidráulicas que se dañaron durante las últimas inundaciones, la apertura de caminos para ingresar a co</w:t>
            </w:r>
            <w:r>
              <w:rPr>
                <w:rFonts w:ascii="Arial" w:eastAsia="Arial" w:hAnsi="Arial" w:cs="Arial"/>
                <w:sz w:val="24"/>
                <w:szCs w:val="44"/>
                <w:lang w:val="es-ES" w:eastAsia="es-ES"/>
              </w:rPr>
              <w:t>munidades, el tránsito productos agrícolas en estas en estas zonas y también restablecer los pasos para ambulancias, salida de estudiantes, personas que se dirigen a sus centros de trabajos o que deben también acudir a sus citas médicas.”</w:t>
            </w:r>
          </w:p>
          <w:p w:rsidR="00000000" w:rsidRDefault="007067C3">
            <w:pPr>
              <w:jc w:val="both"/>
              <w:rPr>
                <w:rFonts w:ascii="Arial" w:eastAsia="Arial" w:hAnsi="Arial" w:cs="Arial"/>
                <w:sz w:val="24"/>
                <w:szCs w:val="44"/>
                <w:lang w:val="es-ES" w:eastAsia="es-ES"/>
              </w:rPr>
            </w:pPr>
            <w:r>
              <w:rPr>
                <w:rFonts w:ascii="Arial" w:eastAsia="Arial" w:hAnsi="Arial" w:cs="Arial"/>
                <w:sz w:val="24"/>
                <w:szCs w:val="44"/>
                <w:lang w:val="es-ES" w:eastAsia="es-ES"/>
              </w:rPr>
              <w:t>Estas obras benef</w:t>
            </w:r>
            <w:r>
              <w:rPr>
                <w:rFonts w:ascii="Arial" w:eastAsia="Arial" w:hAnsi="Arial" w:cs="Arial"/>
                <w:sz w:val="24"/>
                <w:szCs w:val="44"/>
                <w:lang w:val="es-ES" w:eastAsia="es-ES"/>
              </w:rPr>
              <w:t>iciarán a cantones como: Turrialba, Jiménez, Guatuso, Upala, Los Chiles, Sarapiquí, Siquirres, Talamanca, Pococí, Matina, Limón, Puriscal, entre otros.</w:t>
            </w:r>
          </w:p>
          <w:p w:rsidR="00000000" w:rsidRDefault="007067C3">
            <w:pPr>
              <w:jc w:val="both"/>
              <w:rPr>
                <w:rFonts w:ascii="Arial" w:eastAsia="Arial" w:hAnsi="Arial" w:cs="Arial"/>
                <w:sz w:val="24"/>
                <w:szCs w:val="24"/>
                <w:lang w:val="es-ES" w:eastAsia="es-ES"/>
              </w:rPr>
            </w:pPr>
            <w:r>
              <w:rPr>
                <w:rFonts w:ascii="Arial" w:eastAsia="Arial" w:hAnsi="Arial" w:cs="Arial"/>
                <w:sz w:val="24"/>
                <w:szCs w:val="24"/>
                <w:lang w:val="es-ES" w:eastAsia="es-ES"/>
              </w:rPr>
              <w:t xml:space="preserve">Cerca de </w:t>
            </w:r>
            <w:r>
              <w:rPr>
                <w:rFonts w:ascii="Arial" w:eastAsia="Arial" w:hAnsi="Arial" w:cs="Arial"/>
                <w:b/>
                <w:bCs/>
                <w:sz w:val="24"/>
                <w:szCs w:val="24"/>
                <w:lang w:val="es-ES" w:eastAsia="es-ES"/>
              </w:rPr>
              <w:t xml:space="preserve">35 empresas </w:t>
            </w:r>
            <w:r>
              <w:rPr>
                <w:rFonts w:ascii="Arial" w:eastAsia="Arial" w:hAnsi="Arial" w:cs="Arial"/>
                <w:sz w:val="24"/>
                <w:szCs w:val="24"/>
                <w:lang w:val="es-ES" w:eastAsia="es-ES"/>
              </w:rPr>
              <w:t>están participando en las contrataciones, entre las que destacan   ALGRASA S.A, Que</w:t>
            </w:r>
            <w:r>
              <w:rPr>
                <w:rFonts w:ascii="Arial" w:eastAsia="Arial" w:hAnsi="Arial" w:cs="Arial"/>
                <w:sz w:val="24"/>
                <w:szCs w:val="24"/>
                <w:lang w:val="es-ES" w:eastAsia="es-ES"/>
              </w:rPr>
              <w:t>brador El Pacuare del Atlántico, Hermanos Herrera Barrantes constructora S.A., Equipos Mata S.A, Inmobiliaria Colinas del Irazú S.A., Seconsa S.A., IBJ Consultoría SRL, Constructora Vargas, MECO, Grupo Trialba S.A, Transporte y Equipo Pesado BRE Y BRE,</w:t>
            </w:r>
            <w:r>
              <w:rPr>
                <w:rFonts w:ascii="Arial" w:eastAsia="Arial" w:hAnsi="Arial" w:cs="Arial"/>
                <w:sz w:val="24"/>
                <w:szCs w:val="44"/>
                <w:lang w:val="es-ES" w:eastAsia="es-ES"/>
              </w:rPr>
              <w:t xml:space="preserve"> </w:t>
            </w:r>
            <w:r>
              <w:rPr>
                <w:rFonts w:ascii="Arial" w:eastAsia="Arial" w:hAnsi="Arial" w:cs="Arial"/>
                <w:sz w:val="24"/>
                <w:szCs w:val="24"/>
                <w:lang w:val="es-ES" w:eastAsia="es-ES"/>
              </w:rPr>
              <w:t>Con</w:t>
            </w:r>
            <w:r>
              <w:rPr>
                <w:rFonts w:ascii="Arial" w:eastAsia="Arial" w:hAnsi="Arial" w:cs="Arial"/>
                <w:sz w:val="24"/>
                <w:szCs w:val="24"/>
                <w:lang w:val="es-ES" w:eastAsia="es-ES"/>
              </w:rPr>
              <w:t xml:space="preserve">structora Hermanos Brenes, </w:t>
            </w:r>
            <w:r>
              <w:rPr>
                <w:rFonts w:ascii="Arial" w:eastAsia="Arial" w:hAnsi="Arial" w:cs="Arial"/>
                <w:sz w:val="24"/>
                <w:szCs w:val="44"/>
                <w:lang w:val="es-ES" w:eastAsia="es-ES"/>
              </w:rPr>
              <w:t>A&amp;H Sarapiquí SRL, Next III, Inversiones Ruidgua Maquinaria S.A, MAD CROSBY M&amp;C S.A, WSP Constructora S.A, JOSEIMA S.A</w:t>
            </w:r>
            <w:r>
              <w:rPr>
                <w:rFonts w:ascii="Arial" w:eastAsia="Arial" w:hAnsi="Arial" w:cs="Arial"/>
                <w:sz w:val="24"/>
                <w:szCs w:val="24"/>
                <w:lang w:val="es-ES" w:eastAsia="es-ES"/>
              </w:rPr>
              <w:t xml:space="preserve">. </w:t>
            </w:r>
          </w:p>
          <w:p w:rsidR="00000000" w:rsidRDefault="007067C3">
            <w:pPr>
              <w:jc w:val="both"/>
              <w:rPr>
                <w:rFonts w:ascii="Arial" w:eastAsia="Arial" w:hAnsi="Arial" w:cs="Arial"/>
                <w:b/>
                <w:bCs/>
                <w:sz w:val="24"/>
                <w:szCs w:val="44"/>
                <w:lang w:val="es-ES" w:eastAsia="es-ES"/>
              </w:rPr>
            </w:pPr>
            <w:r>
              <w:rPr>
                <w:rFonts w:ascii="Arial" w:eastAsia="Arial" w:hAnsi="Arial" w:cs="Arial"/>
                <w:b/>
                <w:bCs/>
                <w:sz w:val="24"/>
                <w:szCs w:val="44"/>
                <w:lang w:val="es-ES" w:eastAsia="es-ES"/>
              </w:rPr>
              <w:t>Asistencia Humanitaria ha llegado a más de 19 mil personas</w:t>
            </w:r>
          </w:p>
          <w:p w:rsidR="00000000" w:rsidRDefault="007067C3">
            <w:pPr>
              <w:jc w:val="both"/>
              <w:rPr>
                <w:rFonts w:ascii="Arial" w:eastAsia="Arial" w:hAnsi="Arial" w:cs="Arial"/>
                <w:sz w:val="24"/>
                <w:szCs w:val="44"/>
                <w:lang w:val="es-ES" w:eastAsia="es-ES"/>
              </w:rPr>
            </w:pPr>
            <w:r>
              <w:rPr>
                <w:rFonts w:ascii="Arial" w:eastAsia="Arial" w:hAnsi="Arial" w:cs="Arial"/>
                <w:sz w:val="24"/>
                <w:szCs w:val="44"/>
                <w:lang w:val="es-ES" w:eastAsia="es-ES"/>
              </w:rPr>
              <w:t xml:space="preserve">Durante la fase de respuesta a la emergencia, la </w:t>
            </w:r>
            <w:r>
              <w:rPr>
                <w:rFonts w:ascii="Arial" w:eastAsia="Arial" w:hAnsi="Arial" w:cs="Arial"/>
                <w:sz w:val="24"/>
                <w:szCs w:val="44"/>
                <w:lang w:val="es-ES" w:eastAsia="es-ES"/>
              </w:rPr>
              <w:t xml:space="preserve">CNE invirtió </w:t>
            </w:r>
            <w:r>
              <w:rPr>
                <w:rFonts w:ascii="Arial" w:eastAsia="Arial" w:hAnsi="Arial" w:cs="Arial"/>
                <w:sz w:val="24"/>
                <w:szCs w:val="44"/>
                <w:lang w:val="es-ES" w:eastAsia="es-ES"/>
              </w:rPr>
              <w:t>₵</w:t>
            </w:r>
            <w:r>
              <w:rPr>
                <w:rFonts w:ascii="Arial" w:eastAsia="Arial" w:hAnsi="Arial" w:cs="Arial"/>
                <w:sz w:val="24"/>
                <w:szCs w:val="44"/>
                <w:lang w:val="es-ES" w:eastAsia="es-ES"/>
              </w:rPr>
              <w:t xml:space="preserve">879,140,085.25 en insumos de primera necesidad que fueron enviados a las comunidades afectadas por las lluvias. </w:t>
            </w:r>
            <w:r>
              <w:rPr>
                <w:rFonts w:ascii="Arial" w:eastAsia="Arial" w:hAnsi="Arial" w:cs="Arial"/>
                <w:noProof/>
                <w:sz w:val="24"/>
                <w:szCs w:val="44"/>
                <w:lang w:val="es-ES" w:eastAsia="es-ES"/>
              </w:rPr>
              <w:drawing>
                <wp:inline distT="0" distB="0" distL="0" distR="0">
                  <wp:extent cx="6798310" cy="3108960"/>
                  <wp:effectExtent l="0" t="0" r="2540" b="0"/>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98310" cy="3108960"/>
                          </a:xfrm>
                          <a:prstGeom prst="rect">
                            <a:avLst/>
                          </a:prstGeom>
                          <a:noFill/>
                          <a:ln>
                            <a:noFill/>
                          </a:ln>
                        </pic:spPr>
                      </pic:pic>
                    </a:graphicData>
                  </a:graphic>
                </wp:inline>
              </w:drawing>
            </w:r>
          </w:p>
          <w:p w:rsidR="00000000" w:rsidRDefault="007067C3">
            <w:pPr>
              <w:jc w:val="both"/>
              <w:rPr>
                <w:rFonts w:ascii="Arial" w:eastAsia="Arial" w:hAnsi="Arial" w:cs="Arial"/>
                <w:sz w:val="24"/>
                <w:szCs w:val="44"/>
                <w:lang w:val="es-ES" w:eastAsia="es-ES"/>
              </w:rPr>
            </w:pPr>
            <w:r>
              <w:rPr>
                <w:rFonts w:ascii="Arial" w:eastAsia="Arial" w:hAnsi="Arial" w:cs="Arial"/>
                <w:sz w:val="24"/>
                <w:szCs w:val="44"/>
                <w:lang w:val="es-ES" w:eastAsia="es-ES"/>
              </w:rPr>
              <w:t xml:space="preserve">La </w:t>
            </w:r>
            <w:r>
              <w:rPr>
                <w:rFonts w:ascii="Arial" w:eastAsia="Arial" w:hAnsi="Arial" w:cs="Arial"/>
                <w:sz w:val="24"/>
                <w:szCs w:val="44"/>
                <w:lang w:val="es-ES" w:eastAsia="es-ES"/>
              </w:rPr>
              <w:t>CNE y los Comités Municipales de Emergencia trabajaron en un operativo de asistencia humanitaria para abastecer con suministros a los cantones más afectados, proveer de insumos a los albergues y gestionar créditos locales para mantener activo el comercio l</w:t>
            </w:r>
            <w:r>
              <w:rPr>
                <w:rFonts w:ascii="Arial" w:eastAsia="Arial" w:hAnsi="Arial" w:cs="Arial"/>
                <w:sz w:val="24"/>
                <w:szCs w:val="44"/>
                <w:lang w:val="es-ES" w:eastAsia="es-ES"/>
              </w:rPr>
              <w:t>ocal y así como tener los requerimientos en los sitios afectados, en el menor tiempo.</w:t>
            </w:r>
          </w:p>
          <w:p w:rsidR="00000000" w:rsidRDefault="007067C3">
            <w:pPr>
              <w:jc w:val="both"/>
              <w:rPr>
                <w:rFonts w:ascii="Arial" w:eastAsia="Arial" w:hAnsi="Arial" w:cs="Arial"/>
                <w:sz w:val="24"/>
                <w:szCs w:val="44"/>
                <w:lang w:val="es-ES" w:eastAsia="es-ES"/>
              </w:rPr>
            </w:pPr>
            <w:r>
              <w:rPr>
                <w:rFonts w:ascii="Arial" w:eastAsia="Arial" w:hAnsi="Arial" w:cs="Arial"/>
                <w:sz w:val="24"/>
                <w:szCs w:val="44"/>
                <w:lang w:val="es-ES" w:eastAsia="es-ES"/>
              </w:rPr>
              <w:t xml:space="preserve">En total, 19.646 familias recibieron paquetes de alimentación, además se llevó a los territorios un total de 6.555 espumas y 6.545 cobijas. Además de pichingas y tanques </w:t>
            </w:r>
            <w:r>
              <w:rPr>
                <w:rFonts w:ascii="Arial" w:eastAsia="Arial" w:hAnsi="Arial" w:cs="Arial"/>
                <w:sz w:val="24"/>
                <w:szCs w:val="44"/>
                <w:lang w:val="es-ES" w:eastAsia="es-ES"/>
              </w:rPr>
              <w:t>para almacenaje de agua.</w:t>
            </w:r>
          </w:p>
          <w:p w:rsidR="00000000" w:rsidRDefault="007067C3">
            <w:pPr>
              <w:jc w:val="both"/>
              <w:rPr>
                <w:rFonts w:ascii="Arial" w:hAnsi="Arial" w:cs="Arial"/>
                <w:bCs/>
                <w:iCs/>
                <w:sz w:val="24"/>
                <w:szCs w:val="24"/>
              </w:rPr>
            </w:pPr>
            <w:r>
              <w:rPr>
                <w:rFonts w:ascii="Arial" w:eastAsia="Arial" w:hAnsi="Arial" w:cs="Arial"/>
                <w:sz w:val="24"/>
                <w:szCs w:val="44"/>
                <w:lang w:val="es-ES" w:eastAsia="es-ES"/>
              </w:rPr>
              <w:t>“Estas inversiones inmediatas están enfocadas en proteger la vida y restablecer el orden en las comunidades atendiendo de manera urgente necesidades como alimentación y seguridad”, acotó Solís.</w:t>
            </w:r>
          </w:p>
          <w:p w:rsidR="00000000" w:rsidRDefault="007067C3">
            <w:pPr>
              <w:jc w:val="both"/>
              <w:rPr>
                <w:rFonts w:ascii="Arial" w:hAnsi="Arial" w:cs="Arial"/>
                <w:sz w:val="24"/>
                <w:lang w:val="es-ES"/>
              </w:rPr>
            </w:pPr>
          </w:p>
        </w:tc>
        <w:tc>
          <w:tcPr>
            <w:tcW w:w="269" w:type="dxa"/>
            <w:tcBorders>
              <w:top w:val="single" w:sz="4" w:space="0" w:color="auto"/>
              <w:left w:val="single" w:sz="4" w:space="0" w:color="auto"/>
              <w:bottom w:val="single" w:sz="4" w:space="0" w:color="auto"/>
              <w:right w:val="single" w:sz="4" w:space="0" w:color="auto"/>
            </w:tcBorders>
          </w:tcPr>
          <w:p w:rsidR="00000000" w:rsidRDefault="007067C3">
            <w:pPr>
              <w:spacing w:after="0" w:line="240" w:lineRule="auto"/>
              <w:jc w:val="center"/>
              <w:rPr>
                <w:bCs/>
                <w:color w:val="000000"/>
                <w:sz w:val="40"/>
                <w:szCs w:val="40"/>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7067C3">
            <w:pPr>
              <w:spacing w:after="0" w:line="240" w:lineRule="auto"/>
              <w:jc w:val="center"/>
              <w:rPr>
                <w:bCs/>
                <w:color w:val="000000"/>
                <w:sz w:val="40"/>
                <w:szCs w:val="40"/>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7067C3">
            <w:pPr>
              <w:spacing w:after="0" w:line="240" w:lineRule="auto"/>
              <w:jc w:val="center"/>
              <w:rPr>
                <w:bCs/>
                <w:color w:val="000000"/>
                <w:sz w:val="40"/>
                <w:szCs w:val="40"/>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7067C3">
            <w:pPr>
              <w:spacing w:after="0" w:line="240" w:lineRule="auto"/>
              <w:jc w:val="center"/>
              <w:rPr>
                <w:bCs/>
                <w:color w:val="000000"/>
                <w:sz w:val="40"/>
                <w:szCs w:val="40"/>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7067C3">
            <w:pPr>
              <w:spacing w:after="0" w:line="240" w:lineRule="auto"/>
              <w:jc w:val="center"/>
              <w:rPr>
                <w:bCs/>
                <w:color w:val="000000"/>
                <w:sz w:val="40"/>
                <w:szCs w:val="40"/>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7067C3">
            <w:pPr>
              <w:spacing w:after="0" w:line="240" w:lineRule="auto"/>
              <w:jc w:val="center"/>
              <w:rPr>
                <w:bCs/>
                <w:color w:val="000000"/>
                <w:sz w:val="40"/>
                <w:szCs w:val="40"/>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7067C3">
            <w:pPr>
              <w:spacing w:after="0" w:line="240" w:lineRule="auto"/>
              <w:jc w:val="center"/>
              <w:rPr>
                <w:bCs/>
                <w:color w:val="000000"/>
                <w:sz w:val="40"/>
                <w:szCs w:val="40"/>
                <w:lang w:eastAsia="es-CR"/>
              </w:rPr>
            </w:pPr>
          </w:p>
        </w:tc>
      </w:tr>
    </w:tbl>
    <w:p w:rsidR="00000000" w:rsidRDefault="007067C3">
      <w:pPr>
        <w:jc w:val="right"/>
        <w:rPr>
          <w:rFonts w:cstheme="minorHAnsi"/>
          <w:bCs/>
          <w:sz w:val="20"/>
          <w:szCs w:val="20"/>
        </w:rPr>
      </w:pPr>
    </w:p>
    <w:sectPr w:rsidR="00000000">
      <w:headerReference w:type="default" r:id="rId11"/>
      <w:pgSz w:w="11907" w:h="16839"/>
      <w:pgMar w:top="1134" w:right="1134" w:bottom="1134" w:left="1134" w:header="426"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7067C3">
      <w:pPr>
        <w:spacing w:after="0" w:line="240" w:lineRule="auto"/>
      </w:pPr>
      <w:r>
        <w:separator/>
      </w:r>
    </w:p>
  </w:endnote>
  <w:endnote w:type="continuationSeparator" w:id="0">
    <w:p w:rsidR="00000000" w:rsidRDefault="00706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7067C3">
      <w:pPr>
        <w:spacing w:after="0" w:line="240" w:lineRule="auto"/>
      </w:pPr>
      <w:r>
        <w:separator/>
      </w:r>
    </w:p>
  </w:footnote>
  <w:footnote w:type="continuationSeparator" w:id="0">
    <w:p w:rsidR="00000000" w:rsidRDefault="00706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7067C3">
    <w:pPr>
      <w:pStyle w:val="Encabezado"/>
      <w:ind w:left="2124" w:right="618"/>
      <w:jc w:val="right"/>
      <w:rPr>
        <w:rFonts w:ascii="Times New Roman" w:hAnsi="Times New Roman" w:cs="Times New Roman"/>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381B8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5B1B729C"/>
    <w:multiLevelType w:val="hybridMultilevel"/>
    <w:tmpl w:val="19368DA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16cid:durableId="1891845990">
    <w:abstractNumId w:val="0"/>
  </w:num>
  <w:num w:numId="2" w16cid:durableId="2032220434">
    <w:abstractNumId w:val="0"/>
  </w:num>
  <w:num w:numId="3" w16cid:durableId="371226954">
    <w:abstractNumId w:val="0"/>
    <w:lvlOverride w:ilvl="0"/>
  </w:num>
  <w:num w:numId="4" w16cid:durableId="768476887">
    <w:abstractNumId w:val="1"/>
  </w:num>
  <w:num w:numId="5" w16cid:durableId="47075082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7C3"/>
    <w:rsid w:val="007067C3"/>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Pr>
      <w:color w:val="0000FF"/>
      <w:u w:val="single"/>
    </w:rPr>
  </w:style>
  <w:style w:type="character" w:styleId="Hipervnculovisitado">
    <w:name w:val="FollowedHyperlink"/>
    <w:basedOn w:val="Fuentedeprrafopredeter"/>
    <w:uiPriority w:val="99"/>
    <w:semiHidden/>
    <w:unhideWhenUsed/>
    <w:rPr>
      <w:color w:val="954F72" w:themeColor="followedHyperlink"/>
      <w:u w:val="single"/>
    </w:rPr>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E74B5" w:themeColor="accent1" w:themeShade="BF"/>
      <w:sz w:val="32"/>
      <w:szCs w:val="32"/>
    </w:rPr>
  </w:style>
  <w:style w:type="paragraph" w:customStyle="1" w:styleId="msonormal0">
    <w:name w:val="msonormal"/>
    <w:basedOn w:val="Normal"/>
    <w:uiPriority w:val="99"/>
    <w:semiHidden/>
    <w:rPr>
      <w:rFonts w:ascii="Times New Roman" w:hAnsi="Times New Roman" w:cs="Times New Roman"/>
      <w:sz w:val="24"/>
      <w:szCs w:val="24"/>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style>
  <w:style w:type="paragraph" w:styleId="Piedepgina">
    <w:name w:val="footer"/>
    <w:basedOn w:val="Normal"/>
    <w:link w:val="PiedepginaCar"/>
    <w:uiPriority w:val="99"/>
    <w:semiHidden/>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style>
  <w:style w:type="paragraph" w:styleId="Descripcin">
    <w:name w:val="caption"/>
    <w:basedOn w:val="Normal"/>
    <w:next w:val="Normal"/>
    <w:uiPriority w:val="99"/>
    <w:semiHidden/>
    <w:unhideWhenUsed/>
    <w:qFormat/>
    <w:pPr>
      <w:spacing w:after="0" w:line="240" w:lineRule="auto"/>
      <w:jc w:val="right"/>
    </w:pPr>
    <w:rPr>
      <w:rFonts w:ascii="Comic Sans MS" w:eastAsia="Times New Roman" w:hAnsi="Comic Sans MS" w:cs="Times New Roman"/>
      <w:b/>
      <w:i/>
      <w:sz w:val="24"/>
      <w:szCs w:val="20"/>
      <w:lang w:val="es-ES_tradnl" w:eastAsia="es-ES"/>
    </w:rPr>
  </w:style>
  <w:style w:type="paragraph" w:styleId="Listaconvietas">
    <w:name w:val="List Bullet"/>
    <w:basedOn w:val="Normal"/>
    <w:uiPriority w:val="99"/>
    <w:semiHidden/>
    <w:unhideWhenUsed/>
    <w:pPr>
      <w:numPr>
        <w:numId w:val="3"/>
      </w:numPr>
      <w:contextualSpacing/>
    </w:p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Pr>
      <w:rFonts w:ascii="Segoe UI" w:hAnsi="Segoe UI" w:cs="Segoe UI" w:hint="default"/>
      <w:sz w:val="18"/>
      <w:szCs w:val="18"/>
    </w:rPr>
  </w:style>
  <w:style w:type="paragraph" w:styleId="Sinespaciado">
    <w:name w:val="No Spacing"/>
    <w:uiPriority w:val="1"/>
    <w:semiHidden/>
    <w:qFormat/>
    <w:rPr>
      <w:sz w:val="22"/>
      <w:szCs w:val="22"/>
    </w:rPr>
  </w:style>
  <w:style w:type="paragraph" w:styleId="Prrafodelista">
    <w:name w:val="List Paragraph"/>
    <w:basedOn w:val="Normal"/>
    <w:uiPriority w:val="34"/>
    <w:semiHidden/>
    <w:qFormat/>
    <w:pPr>
      <w:ind w:left="720"/>
      <w:contextualSpacing/>
    </w:pPr>
  </w:style>
  <w:style w:type="paragraph" w:customStyle="1" w:styleId="Default">
    <w:name w:val="Default"/>
    <w:uiPriority w:val="99"/>
    <w:semiHidden/>
    <w:pPr>
      <w:autoSpaceDE w:val="0"/>
      <w:autoSpaceDN w:val="0"/>
      <w:adjustRightInd w:val="0"/>
    </w:pPr>
    <w:rPr>
      <w:rFonts w:ascii="Arial" w:hAnsi="Arial" w:cs="Arial"/>
      <w:color w:val="000000"/>
      <w:sz w:val="24"/>
      <w:szCs w:val="24"/>
    </w:r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oscura-nfasis6">
    <w:name w:val="Grid Table 5 Dark Accent 6"/>
    <w:basedOn w:val="Tablanormal"/>
    <w:uiPriority w:val="50"/>
    <w:rPr>
      <w:rFonts w:ascii="Arial" w:eastAsia="Arial" w:hAnsi="Arial" w:cs="Arial"/>
      <w:sz w:val="22"/>
      <w:szCs w:val="22"/>
      <w:lang w:eastAsia="es-ES_tradnl"/>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adecuadrcula4-nfasis21">
    <w:name w:val="Tabla de cuadrícula 4 - Énfasis 21"/>
    <w:basedOn w:val="Tablanormal"/>
    <w:uiPriority w:val="49"/>
    <w:rPr>
      <w:sz w:val="22"/>
      <w:szCs w:val="22"/>
    </w:rPr>
    <w:tblPr>
      <w:tblStyleRowBandSize w:val="1"/>
      <w:tblStyleColBandSize w:val="1"/>
      <w:tblInd w:w="0" w:type="nil"/>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cuadrcula4-nfasis41">
    <w:name w:val="Tabla de cuadrícula 4 - Énfasis 41"/>
    <w:basedOn w:val="Tablanormal"/>
    <w:uiPriority w:val="49"/>
    <w:rPr>
      <w:sz w:val="22"/>
      <w:szCs w:val="22"/>
    </w:rPr>
    <w:tblPr>
      <w:tblStyleRowBandSize w:val="1"/>
      <w:tblStyleColBandSize w:val="1"/>
      <w:tblInd w:w="0" w:type="nil"/>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1D2FF-81AC-4EAD-BA32-0B4CC6AD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3993</Characters>
  <Application>Microsoft Office Word</Application>
  <DocSecurity>0</DocSecurity>
  <Lines>33</Lines>
  <Paragraphs>9</Paragraphs>
  <ScaleCrop>false</ScaleCrop>
  <Company>Microsoft</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Hidalgo Madrigal</dc:creator>
  <cp:keywords/>
  <dc:description/>
  <cp:lastModifiedBy>David Eduarte Vargas</cp:lastModifiedBy>
  <cp:revision>2</cp:revision>
  <cp:lastPrinted>2019-08-06T21:41:00Z</cp:lastPrinted>
  <dcterms:created xsi:type="dcterms:W3CDTF">2022-05-13T20:10:00Z</dcterms:created>
  <dcterms:modified xsi:type="dcterms:W3CDTF">2022-05-13T20:10:00Z</dcterms:modified>
</cp:coreProperties>
</file>