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44"/>
        <w:gridCol w:w="2965"/>
        <w:gridCol w:w="2931"/>
        <w:gridCol w:w="494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C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C5D">
            <w:pPr>
              <w:pStyle w:val="Ttulo1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CNE invierte más de mil millones de colones en alimentos con dineros recaudados por multas de tránsito</w:t>
            </w:r>
          </w:p>
          <w:p w:rsidR="00000000" w:rsidRDefault="00C91C5D">
            <w:pPr>
              <w:pStyle w:val="Prrafodelista"/>
              <w:spacing w:line="240" w:lineRule="auto"/>
              <w:ind w:left="0" w:right="737" w:hanging="2"/>
              <w:jc w:val="center"/>
              <w:rPr>
                <w:b/>
                <w:bCs/>
                <w:iCs/>
                <w:sz w:val="24"/>
                <w:szCs w:val="24"/>
                <w:lang w:val="es-ES"/>
              </w:rPr>
            </w:pPr>
            <w:r>
              <w:rPr>
                <w:b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6114415" cy="4587875"/>
                  <wp:effectExtent l="0" t="0" r="635" b="3175"/>
                  <wp:docPr id="1" name="Imagen 1" descr="Imagen que contiene interior, edificio, tabla, hombr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interior, edificio, tabla, hombr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91C5D">
            <w:pPr>
              <w:pStyle w:val="Prrafodelista"/>
              <w:numPr>
                <w:ilvl w:val="0"/>
                <w:numId w:val="2"/>
              </w:numPr>
              <w:spacing w:line="256" w:lineRule="auto"/>
              <w:ind w:right="735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CNE ha entregado </w:t>
            </w:r>
            <w:r>
              <w:rPr>
                <w:rFonts w:ascii="Arial" w:hAnsi="Arial" w:cs="Arial"/>
                <w:b/>
                <w:lang w:val="es-ES"/>
              </w:rPr>
              <w:t>más de 368 mil paquetes de alimentos a personas positivas por COVID-19, más de 32.900 diarios se compraron con fondos de las multas</w:t>
            </w:r>
          </w:p>
          <w:p w:rsidR="00000000" w:rsidRDefault="00C91C5D">
            <w:pPr>
              <w:pStyle w:val="Prrafodelista"/>
              <w:ind w:right="735"/>
              <w:rPr>
                <w:rFonts w:ascii="Arial" w:hAnsi="Arial" w:cs="Arial"/>
                <w:b/>
                <w:lang w:val="es-ES"/>
              </w:rPr>
            </w:pPr>
          </w:p>
          <w:p w:rsidR="00000000" w:rsidRDefault="00C91C5D">
            <w:pPr>
              <w:pStyle w:val="Default"/>
              <w:ind w:rightChars="100" w:right="220"/>
              <w:jc w:val="both"/>
            </w:pPr>
            <w:r>
              <w:rPr>
                <w:b/>
                <w:bCs/>
              </w:rPr>
              <w:t>Martes 20 de julio, 2021. San José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Cs/>
              </w:rPr>
              <w:t>La Comisión Nacional de Prevención de Riesgos y Atención de Emergencia (CNE) recibió</w:t>
            </w:r>
            <w:r>
              <w:t xml:space="preserve"> </w:t>
            </w:r>
            <w:r>
              <w:rPr>
                <w:b/>
                <w:bCs/>
              </w:rPr>
              <w:t>¢1</w:t>
            </w:r>
            <w:r>
              <w:rPr>
                <w:b/>
                <w:bCs/>
              </w:rPr>
              <w:t>.152.150.696,91</w:t>
            </w:r>
            <w:r>
              <w:t xml:space="preserve"> provenientes del pago a las infracciones de tránsito durante la pandemia; y destinó el 100% para la compra de paquetes de alimentos.</w:t>
            </w:r>
          </w:p>
          <w:p w:rsidR="00000000" w:rsidRDefault="00C91C5D">
            <w:pPr>
              <w:pStyle w:val="Default"/>
              <w:ind w:rightChars="100" w:right="220"/>
              <w:jc w:val="both"/>
              <w:rPr>
                <w:bCs/>
                <w:sz w:val="28"/>
                <w:szCs w:val="28"/>
              </w:rPr>
            </w:pPr>
          </w:p>
          <w:p w:rsidR="00000000" w:rsidRDefault="00C91C5D">
            <w:pPr>
              <w:ind w:rightChars="100" w:right="2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 CNE ha utilizado esos recursos en la compra de alimentos para las personas que han resultado contagiada</w:t>
            </w:r>
            <w:r>
              <w:rPr>
                <w:rFonts w:ascii="Arial" w:hAnsi="Arial" w:cs="Arial"/>
                <w:bCs/>
                <w:sz w:val="24"/>
                <w:szCs w:val="24"/>
              </w:rPr>
              <w:t>s por coronavirus, tienen orden sanitaria y además requieren esos insumos para sus días de aislamiento; esto se ha ejecutado en coordinación con el Ministerio de Salud a través de los Comités Municipales de Emergencia de todo el país.</w:t>
            </w:r>
          </w:p>
          <w:p w:rsidR="00000000" w:rsidRDefault="00C91C5D">
            <w:pPr>
              <w:ind w:rightChars="100" w:right="2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Tanto con los dineros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por las infracciones a la Restricción Vehicular Sanitaria (RSV) como fondos de la CNE, se han beneficiado a más de 368 mil personas y sus familias, para sobrellevar la emergencia.</w:t>
            </w:r>
          </w:p>
          <w:p w:rsidR="00000000" w:rsidRDefault="00C91C5D">
            <w:pPr>
              <w:ind w:rightChars="100" w:right="2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Tal y como lo estableció la Ley de Tránsito, los dineros por concepto de la</w:t>
            </w:r>
            <w:r>
              <w:rPr>
                <w:rFonts w:ascii="Arial" w:hAnsi="Arial" w:cs="Arial"/>
                <w:bCs/>
                <w:sz w:val="24"/>
                <w:szCs w:val="24"/>
              </w:rPr>
              <w:t>s multas realizadas por el irrespeto a la RSV debieron ser trasladados al Fondo Nacional de Emergencia (FNE) que administra la CNE.</w:t>
            </w:r>
          </w:p>
          <w:p w:rsidR="00000000" w:rsidRDefault="00C91C5D">
            <w:pPr>
              <w:ind w:rightChars="100" w:right="2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Como parte del proceso de transparencia, la CNE ha estado siempre anuente a rendir cuentas a las auditorías y evaluaciones 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 los órganos competentes de fiscalizar el uso de los recursos públicos durante la pandemia e incluso en cualquier otra emergencia.  </w:t>
            </w:r>
          </w:p>
          <w:p w:rsidR="00000000" w:rsidRDefault="00C91C5D">
            <w:pPr>
              <w:ind w:rightChars="100" w:right="2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 este sentido, el presidente de la CNE resaltó que “el interés de la Defensoría de los Habitantes por conocer el uso efi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ciente de los recursos derivados por COSEVI al FNE nos parece muy oportuno siendo que la Defensoría debe velar por que las poblaciones sean atendidas. </w:t>
            </w:r>
          </w:p>
          <w:p w:rsidR="00000000" w:rsidRDefault="00C91C5D">
            <w:pPr>
              <w:ind w:rightChars="100" w:right="2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 nuestra responsabilidad de asistir a las personas más vulnerables, afectadas por las emergencias, y h</w:t>
            </w:r>
            <w:r>
              <w:rPr>
                <w:rFonts w:ascii="Arial" w:hAnsi="Arial" w:cs="Arial"/>
                <w:bCs/>
                <w:sz w:val="24"/>
                <w:szCs w:val="24"/>
              </w:rPr>
              <w:t>emos estado cumpliendo nuestra labor durante toda la pandemia y lo seguiremos haciendo en respuesta a nuestra misión humanitaria”, explicó Alexander Solís, presidente de la Junta Directiva de la CNE.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C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C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C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C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C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C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C5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C91C5D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F9D"/>
    <w:multiLevelType w:val="hybridMultilevel"/>
    <w:tmpl w:val="921E072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87500">
    <w:abstractNumId w:val="0"/>
  </w:num>
  <w:num w:numId="2" w16cid:durableId="3668819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5D"/>
    <w:rsid w:val="00C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2022-05-13T20:11:00Z</dcterms:created>
  <dcterms:modified xsi:type="dcterms:W3CDTF">2022-05-13T20:11:00Z</dcterms:modified>
</cp:coreProperties>
</file>