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7E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7EA">
            <w:pPr>
              <w:rPr>
                <w:lang w:val="es-ES"/>
              </w:rPr>
            </w:pPr>
          </w:p>
          <w:p w:rsidR="00000000" w:rsidRDefault="005A77EA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Costa Rica recibiría donación bilateral de España por 500 mil dosis de Moderna</w:t>
            </w:r>
          </w:p>
          <w:p w:rsidR="00000000" w:rsidRDefault="005A77EA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</w:p>
          <w:p w:rsidR="00000000" w:rsidRDefault="005A77E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5A77EA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continúa con el seguimiento y la </w:t>
            </w:r>
            <w:r>
              <w:rPr>
                <w:rFonts w:ascii="Arial" w:hAnsi="Arial" w:cs="Arial"/>
                <w:i/>
              </w:rPr>
              <w:t xml:space="preserve">coordinación logística necesaria para acceder lo más pronto posible a estas vacunas. </w:t>
            </w:r>
          </w:p>
          <w:p w:rsidR="00000000" w:rsidRDefault="005A77EA">
            <w:pPr>
              <w:pStyle w:val="Prrafodelista"/>
              <w:jc w:val="both"/>
              <w:rPr>
                <w:rFonts w:ascii="Arial" w:hAnsi="Arial" w:cs="Arial"/>
                <w:i/>
              </w:rPr>
            </w:pPr>
          </w:p>
          <w:p w:rsidR="00000000" w:rsidRDefault="005A77EA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Biológico de Moderna ha sido analizado por los especialistas de la Comisión Nacional de Vacunación y Epidemiología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000000" w:rsidRDefault="005A77EA">
            <w:pPr>
              <w:spacing w:after="0" w:line="276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:rsidR="00000000" w:rsidRDefault="005A77E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5A77EA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Costa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Rica recibiría una donación bilateral de 500 mil dosis del gobierno de España, en seguimiento a las gestiones iniciadas entre ambos países para la obtención de más dosis contra el SARS-CoV-2. Estas vacunas corresponderían al biológico elaborado por la casa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farmacéutica Moderna, según afirmó el presidente de la Comisión Nacional de Emergencias (CNE), Alexander Solís.</w:t>
            </w: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Esta gestión corresponde al seguimiento de las conversaciones entre el presidente de la República, Carlos Alvarado, y su homólogo de España, P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edro Sánchez, durante su visita de Estado a nuestro país. Este lote es producto de las gestiones diplomáticas desarrolladas por la Cancillería y el trabajo del Ministerio de Salud, la Caja Costarricense de Social (CCSS) y la CNE.</w:t>
            </w: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“En este momento nos enco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ntramos en el proceso de cotizaciones de la logística del transporte para traerlas. Ya se han finiquitado los convenios entre el país donante, la casa farmacéutica y el país”, mencionó el presidente de la CNE, Alexander Solís.</w:t>
            </w: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El país avanza con la coordi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nación logística necesaria para acceder lo más pronto posible a estas vacunas, pues se espera que las dosis ingresen durante febrero, señaló Solís. Una vez establecida la fecha de arribo se comunicará oportunamente. Con ello, el país recibiría una tercera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marca de vacuna contra el COVID-19, las cuales permitirían continuar con la aceleración de la campaña de vacunación en todo el país.</w:t>
            </w: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lastRenderedPageBreak/>
              <w:t>Esta vacuna ha sido analizada por los especialistas de la Comisión Nacional de Vacunación y Epidemiología y como todas las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vacunas con las que trabaja el país son de alta calidad, señaló Solís.</w:t>
            </w: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 la fecha el país ha recibido 1.030.230 dosis donadas que corresponden de los gobiernos de los Estados Unidos (503.100), Canadá (319.200), España (69.600), República Dominicana (56.8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00) y Austria (50.000).</w:t>
            </w: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5A77EA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5A77EA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5A77EA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7E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7E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  <w:bookmarkStart w:id="0" w:name="_heading=h.n79dcag5ambo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7E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7E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7E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7E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77E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5A77EA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A77EA">
      <w:pPr>
        <w:spacing w:after="0" w:line="240" w:lineRule="auto"/>
      </w:pPr>
      <w:r>
        <w:separator/>
      </w:r>
    </w:p>
  </w:endnote>
  <w:endnote w:type="continuationSeparator" w:id="0">
    <w:p w:rsidR="00000000" w:rsidRDefault="005A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A77EA">
      <w:pPr>
        <w:spacing w:after="0" w:line="240" w:lineRule="auto"/>
      </w:pPr>
      <w:r>
        <w:separator/>
      </w:r>
    </w:p>
  </w:footnote>
  <w:footnote w:type="continuationSeparator" w:id="0">
    <w:p w:rsidR="00000000" w:rsidRDefault="005A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5A77EA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82B74"/>
    <w:multiLevelType w:val="multilevel"/>
    <w:tmpl w:val="8DC68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7869919">
    <w:abstractNumId w:val="0"/>
  </w:num>
  <w:num w:numId="2" w16cid:durableId="170291808">
    <w:abstractNumId w:val="0"/>
  </w:num>
  <w:num w:numId="3" w16cid:durableId="265893664">
    <w:abstractNumId w:val="0"/>
    <w:lvlOverride w:ilvl="0"/>
  </w:num>
  <w:num w:numId="4" w16cid:durableId="1350057703">
    <w:abstractNumId w:val="1"/>
  </w:num>
  <w:num w:numId="5" w16cid:durableId="18714122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EA"/>
    <w:rsid w:val="005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Pr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2022-05-13T20:14:00Z</dcterms:created>
  <dcterms:modified xsi:type="dcterms:W3CDTF">2022-05-13T20:14:00Z</dcterms:modified>
</cp:coreProperties>
</file>