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50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97502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Costa Rica supera el millón de vacunas recibidas contra el COVID-19</w:t>
            </w:r>
          </w:p>
          <w:p w:rsidR="00000000" w:rsidRDefault="000975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14415" cy="4079240"/>
                  <wp:effectExtent l="0" t="0" r="635" b="0"/>
                  <wp:docPr id="1" name="Imagen 2" descr="Un grupo de personas en uniform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 grupo de personas en uniform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407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97502">
            <w:pPr>
              <w:pStyle w:val="Ttulo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●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ab/>
              <w:t>Entrega de 113.490 vacunas se convierte en el decimoquinto lote en llegar al país.</w:t>
            </w:r>
          </w:p>
          <w:p w:rsidR="00000000" w:rsidRDefault="00097502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●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ab/>
              <w:t xml:space="preserve">Autoridades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mantienen el llamado a mantener las medidas de protección de frente a la situación de contagios del SARS-CoV-2.</w:t>
            </w:r>
          </w:p>
          <w:p w:rsidR="00000000" w:rsidRDefault="00097502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●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ab/>
              <w:t xml:space="preserve">Vuelo ingresó este miércoles a las 8:54 p.m. </w:t>
            </w:r>
          </w:p>
          <w:p w:rsidR="00000000" w:rsidRDefault="00097502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Miércoles 13 de abril de 2021</w:t>
            </w:r>
          </w:p>
          <w:p w:rsidR="00000000" w:rsidRDefault="00097502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 el ingreso del decimoquinto cargamento de vacunas contra el vi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rus del SARS-CoV-2, este 13 de abril, Costa Rica supera el millón de dosis recibidas. </w:t>
            </w:r>
          </w:p>
          <w:p w:rsidR="00000000" w:rsidRDefault="00097502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 las 8:54 p.m. en el Aeropuerto Internacional Juan Santamaría, llegaron 113.490 dosis, de la farmacéutica Pfizer/BioNTech. Con este arribo se alcanza una suma acumulada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de 1.022.685 vacunas recibidas.</w:t>
            </w:r>
          </w:p>
          <w:p w:rsidR="00000000" w:rsidRDefault="00097502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“Esperanza, ese es el sentimiento que nos provoca cada entrega de vacunas que ingresa al país, ya que cada lote fortalece la lucha que hemos dado contra la pandemia. A pesar de ello debemos continuar redoblando los cuidados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y no bajar la guardia ante la situación de contagios e incremento de hospitalización que enfrentamos hoy”, afirmó el presidente de la República, Carlos Alvarado.</w:t>
            </w:r>
          </w:p>
          <w:p w:rsidR="00000000" w:rsidRDefault="0009750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122670" cy="4079240"/>
                  <wp:effectExtent l="0" t="0" r="0" b="0"/>
                  <wp:docPr id="2" name="Imagen 3" descr="Avión estacionado en una pist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Avión estacionado en una pist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07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97502">
            <w:pPr>
              <w:pStyle w:val="Ttulo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 lo que va de abril se han recibido tres entregas, incluyendo la primera realizada por el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mecanismo multilateral COVAX. Este mes, hasta la fecha, se han recibido 271.620 dosis. Ver cuadro detalle.</w:t>
            </w:r>
          </w:p>
          <w:p w:rsidR="00000000" w:rsidRDefault="00097502">
            <w:pPr>
              <w:pStyle w:val="Ttulo1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868035" cy="4445000"/>
                  <wp:effectExtent l="0" t="0" r="0" b="0"/>
                  <wp:docPr id="3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35" cy="44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97502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“Las vacunas forman parte del Plan Nacional de Vacunación que ha aprobado la Comisión Nacional de Emergencias, en conjunto con la Caja Costarricen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se de Seguro Social y el Ministerio de Salud para ser aplicadas a toda la población de los grupos prioritarios”, comentó Eduardo Mora, asesor legal de la CNE.</w:t>
            </w:r>
          </w:p>
          <w:p w:rsidR="00000000" w:rsidRDefault="00097502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La llegada de este lote es la base de las vacunas a distribuirse para su aplicación la próxima se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mana, como parte de la logística que se desarrolla con cada entrega en cuanto a almacenamiento, congelamiento y distribución, para así asegurar la cobertura del programa de inmunización. </w:t>
            </w:r>
          </w:p>
          <w:p w:rsidR="00000000" w:rsidRDefault="00097502">
            <w:pPr>
              <w:pStyle w:val="Ttulo1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El Gobierno de la República reitera el llamado a mantener las medida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s sanitarias de protección para contener la situación de contagios del COVID-19 que enfrenta el país, para así no colapsar los servicios médicos nacionales.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50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50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50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50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50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50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50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097502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02"/>
    <w:rsid w:val="000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2022-05-13T20:14:00Z</dcterms:created>
  <dcterms:modified xsi:type="dcterms:W3CDTF">2022-05-13T20:14:00Z</dcterms:modified>
</cp:coreProperties>
</file>