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7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74B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Durante setiembre se han recibido más de 1,1 millones de vacunas contra el COVID-19</w:t>
            </w:r>
          </w:p>
          <w:p w:rsidR="00000000" w:rsidRDefault="00AE27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2670" cy="4587875"/>
                  <wp:effectExtent l="0" t="0" r="0" b="3175"/>
                  <wp:docPr id="1" name="Imagen 2" descr="Imagen que contiene camino, camioneta, parado, hombr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camino, camioneta, parado, hombr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E274B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Esta noche ingresaron 157.950 dosis de Pfizer/BioNTech.</w:t>
            </w:r>
          </w:p>
          <w:p w:rsidR="00000000" w:rsidRDefault="00AE274B">
            <w:pPr>
              <w:pStyle w:val="Prrafodelista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00000" w:rsidRDefault="00AE274B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La casa farmacéutica ha </w:t>
            </w:r>
            <w:r>
              <w:rPr>
                <w:rFonts w:ascii="Arial" w:hAnsi="Arial" w:cs="Arial"/>
                <w:b/>
                <w:i/>
                <w:iCs/>
              </w:rPr>
              <w:t>entregado más de 4,2 millones de dosis contratadas.</w:t>
            </w:r>
          </w:p>
          <w:p w:rsidR="00000000" w:rsidRDefault="00AE274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Jueves 16 de setiembre de 2021.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Esta noche, el país recibió 157.950 dosis contra el SARS-CoV-2, correspondientes al contrato de compra con la casa farmacéutica Pfizer/BioNTech. Costa Rica alcanza una suma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acumulada de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6.218.205 dosis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47 lotes recibidos a la fecha.</w:t>
            </w:r>
          </w:p>
          <w:p w:rsidR="00000000" w:rsidRDefault="00AE2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 vuelo ingresó cerca de las 8:30 p.m. a Base 2 del aeropuerto internacional Juan Santamaría. </w:t>
            </w:r>
            <w:r>
              <w:rPr>
                <w:rFonts w:ascii="Arial" w:hAnsi="Arial" w:cs="Arial"/>
                <w:sz w:val="24"/>
                <w:szCs w:val="24"/>
              </w:rPr>
              <w:t xml:space="preserve">Hasta el momento la empresa ha enviado </w:t>
            </w:r>
            <w:r>
              <w:rPr>
                <w:rFonts w:ascii="Arial" w:hAnsi="Arial" w:cs="Arial"/>
                <w:b/>
                <w:sz w:val="24"/>
                <w:szCs w:val="24"/>
              </w:rPr>
              <w:t>4.291.755 dosis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equivalen al 71,5% de las que se le co</w:t>
            </w:r>
            <w:r>
              <w:rPr>
                <w:rFonts w:ascii="Arial" w:hAnsi="Arial" w:cs="Arial"/>
                <w:sz w:val="24"/>
                <w:szCs w:val="24"/>
              </w:rPr>
              <w:t>ntrataron.</w:t>
            </w:r>
          </w:p>
          <w:p w:rsidR="00000000" w:rsidRDefault="00AE274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Del acumulado de 6.218.205 vacunas recibidas,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5.326.305 vacunas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corresponden a contratos de compra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este total, 4.291.755 son compradas a Pfizer/BioNTech, 775.200 dosis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adquiridas con AstraZeneca y 259.350 por medio del mecanismo multilateral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COVAX.</w:t>
            </w:r>
          </w:p>
          <w:p w:rsidR="00000000" w:rsidRDefault="00AE2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Además, Costa Rica ha recibido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891.900 dosis donadas, </w:t>
            </w:r>
            <w:r>
              <w:rPr>
                <w:rFonts w:ascii="Arial" w:hAnsi="Arial" w:cs="Arial"/>
                <w:sz w:val="24"/>
                <w:szCs w:val="24"/>
              </w:rPr>
              <w:t>que corresponden a las entregas de los Gobiernos de Estados Unidos (503.100), Canadá (319.200) y España (69.600).</w:t>
            </w:r>
          </w:p>
          <w:p w:rsidR="00000000" w:rsidRDefault="00AE274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 7 envíos realizados hasta mediados del mes de setiembre han ingresado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1.155.3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90 dosis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siendo el mes con mayor crecimiento y rapidez de recepción de vacunas y el segundo en cantidad de frascos recibidos.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 cuadro detalle.</w:t>
            </w:r>
          </w:p>
          <w:p w:rsidR="00000000" w:rsidRDefault="00AE27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162810" cy="2536190"/>
                  <wp:effectExtent l="0" t="0" r="8890" b="0"/>
                  <wp:docPr id="2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E2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 vez que las dosis arriban al país, son sometidas </w:t>
            </w:r>
            <w:r>
              <w:rPr>
                <w:rFonts w:ascii="Arial" w:hAnsi="Arial" w:cs="Arial"/>
                <w:sz w:val="24"/>
                <w:szCs w:val="24"/>
              </w:rPr>
              <w:t>a la revisión de los reportes de temperatura y aprobación documental por el laboratorio de control de calidad de medicamentos, tras lo cual quedan disponibles para su utilización en la campaña de vacunación.</w:t>
            </w:r>
          </w:p>
          <w:p w:rsidR="00000000" w:rsidRDefault="00AE2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Vacunatón. Según informó la Caja Costarricense d</w:t>
            </w:r>
            <w:r>
              <w:rPr>
                <w:rFonts w:ascii="Arial" w:hAnsi="Arial" w:cs="Arial"/>
                <w:sz w:val="24"/>
                <w:szCs w:val="24"/>
              </w:rPr>
              <w:t>e Seguro Social (CCSS), durante los próximos 10 días se realizará la “vacunatón”, una estrategia que busca aumentar la cobertura de aplicación de primeras dosis en nuestro país.</w:t>
            </w:r>
          </w:p>
          <w:p w:rsidR="00000000" w:rsidRDefault="00AE2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establecimientos de salud aplicarán el biológico desarrollado por AstraZen</w:t>
            </w:r>
            <w:r>
              <w:rPr>
                <w:rFonts w:ascii="Arial" w:hAnsi="Arial" w:cs="Arial"/>
                <w:sz w:val="24"/>
                <w:szCs w:val="24"/>
              </w:rPr>
              <w:t>eca, mantendrán sus puestos de vacunación abiertos de lunes a viernes de 8.00 a.m. a 7.00 p.m. y sábado y domingo de 8.00 a.m. a 8.00 p.m. del 17 al 26 de setiembre de 2021.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7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7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7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7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7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7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7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AE274B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3B6E"/>
    <w:multiLevelType w:val="hybridMultilevel"/>
    <w:tmpl w:val="76D8DE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936950">
    <w:abstractNumId w:val="0"/>
  </w:num>
  <w:num w:numId="2" w16cid:durableId="1721125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4B"/>
    <w:rsid w:val="00A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character" w:customStyle="1" w:styleId="PrrafodelistaCar">
    <w:name w:val="Párrafo de lista Car"/>
    <w:link w:val="Prrafodelista"/>
    <w:uiPriority w:val="34"/>
    <w:locked/>
    <w:rPr>
      <w:sz w:val="22"/>
      <w:szCs w:val="22"/>
      <w:lang w:val="es-CR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qFormat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2022-05-13T20:15:00Z</dcterms:created>
  <dcterms:modified xsi:type="dcterms:W3CDTF">2022-05-13T20:15:00Z</dcterms:modified>
</cp:coreProperties>
</file>