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087"/>
        <w:gridCol w:w="3428"/>
        <w:gridCol w:w="3388"/>
        <w:gridCol w:w="566"/>
        <w:gridCol w:w="220"/>
      </w:tblGrid>
      <w:tr w:rsidR="00000000" w14:paraId="197E621C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C5C" w14:textId="77777777" w:rsidR="00000000" w:rsidRDefault="007523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9C0" w14:textId="77777777" w:rsidR="00000000" w:rsidRDefault="0075230D">
            <w:pPr>
              <w:ind w:right="310" w:firstLine="142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</w:p>
          <w:p w14:paraId="17F51CE9" w14:textId="77777777" w:rsidR="00000000" w:rsidRDefault="0075230D">
            <w:pPr>
              <w:ind w:right="310" w:firstLine="142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Orotina, Cañas, Hojancha y Liberia se mantienen en alerta naranja</w:t>
            </w:r>
          </w:p>
          <w:p w14:paraId="3162C82C" w14:textId="77777777" w:rsidR="00000000" w:rsidRDefault="0075230D">
            <w:pPr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.</w:t>
            </w:r>
          </w:p>
          <w:p w14:paraId="35A61C4C" w14:textId="77777777" w:rsidR="00000000" w:rsidRDefault="0075230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Semana epidemiológica #45 cerró con 1.720 personas positivas por COVID-19</w:t>
            </w:r>
          </w:p>
          <w:p w14:paraId="4098610F" w14:textId="77777777" w:rsidR="00000000" w:rsidRDefault="0075230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Fue la semana con menor cantidad de casos del 2021</w:t>
            </w:r>
          </w:p>
          <w:p w14:paraId="30D040EF" w14:textId="77777777" w:rsidR="00000000" w:rsidRDefault="0075230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31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 cantones bajan de alerta naranja a amarilla</w:t>
            </w:r>
          </w:p>
          <w:p w14:paraId="4057EB6A" w14:textId="77777777" w:rsidR="00000000" w:rsidRDefault="0075230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right="312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Autoridades recuerdan a la ciudadanía que los protocolos se deben seguir aplicando para evitar nuevas olas de contagios como está sucediendo en Europa y otras regiones del mundo</w:t>
            </w:r>
          </w:p>
          <w:p w14:paraId="07EF0C24" w14:textId="77777777" w:rsidR="00000000" w:rsidRDefault="0075230D">
            <w:pPr>
              <w:spacing w:after="0" w:line="276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14:paraId="78B17141" w14:textId="77777777" w:rsidR="00000000" w:rsidRDefault="0075230D">
            <w:pPr>
              <w:spacing w:after="0" w:line="276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14:paraId="4A52C2F3" w14:textId="77777777" w:rsidR="00000000" w:rsidRDefault="0075230D">
            <w:pPr>
              <w:spacing w:after="0" w:line="276" w:lineRule="auto"/>
              <w:ind w:left="7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36A92376" wp14:editId="11C23645">
                  <wp:extent cx="7522210" cy="5812155"/>
                  <wp:effectExtent l="0" t="0" r="254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210" cy="581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DB353" w14:textId="77777777" w:rsidR="00000000" w:rsidRDefault="0075230D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7CA56931" w14:textId="77777777" w:rsidR="00000000" w:rsidRDefault="0075230D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14:paraId="70C1682C" w14:textId="77777777" w:rsidR="00000000" w:rsidRDefault="0075230D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San José, 16 de noviembre de 2021.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Las autoridades de la atención a la emergencia sanitaria tomaron la decisión de mantener la alerta naranja por una semana más para los cantones de Orotina, Cañas, Hojancha y Liberia, y reducir el nivel de alerta de naranj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 a amarilla para 10 municipios. Lo anterior de acuerdo con la evolución de la pandemia a nivel nacional y en las localidades durante las últimas semanas.</w:t>
            </w:r>
          </w:p>
          <w:p w14:paraId="46C64510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3F545200" w14:textId="77777777" w:rsidR="00000000" w:rsidRDefault="0075230D">
            <w:pPr>
              <w:spacing w:after="0"/>
              <w:ind w:right="310"/>
              <w:contextualSpacing/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Cantones en alerta naranja</w:t>
            </w:r>
          </w:p>
          <w:p w14:paraId="20DAA604" w14:textId="77777777" w:rsidR="00000000" w:rsidRDefault="0075230D">
            <w:pPr>
              <w:spacing w:after="0"/>
              <w:ind w:right="310"/>
              <w:contextualSpacing/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7F1F9D06" w14:textId="77777777" w:rsidR="00000000" w:rsidRDefault="0075230D">
            <w:pPr>
              <w:spacing w:after="0"/>
              <w:ind w:right="310"/>
              <w:contextualSpacing/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val="es-ES" w:eastAsia="es-ES"/>
              </w:rPr>
              <w:drawing>
                <wp:inline distT="0" distB="0" distL="0" distR="0" wp14:anchorId="62A8A4B8" wp14:editId="7AC414C3">
                  <wp:extent cx="5494655" cy="1605915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55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7EA82" w14:textId="77777777" w:rsidR="00000000" w:rsidRDefault="0075230D">
            <w:pPr>
              <w:spacing w:after="0"/>
              <w:ind w:right="310"/>
              <w:contextualSpacing/>
              <w:jc w:val="center"/>
              <w:rPr>
                <w:rFonts w:ascii="Calibri" w:hAnsi="Calibri" w:cs="Calibri"/>
                <w:bCs/>
                <w:lang w:val="es-ES"/>
              </w:rPr>
            </w:pPr>
          </w:p>
          <w:p w14:paraId="484C7CD4" w14:textId="77777777" w:rsidR="00000000" w:rsidRDefault="0075230D">
            <w:pPr>
              <w:spacing w:after="0"/>
              <w:ind w:right="310"/>
              <w:contextualSpacing/>
              <w:jc w:val="center"/>
              <w:rPr>
                <w:rFonts w:ascii="Calibri" w:hAnsi="Calibri" w:cs="Calibri"/>
                <w:bCs/>
                <w:lang w:val="es-ES"/>
              </w:rPr>
            </w:pPr>
          </w:p>
          <w:p w14:paraId="395DB7BE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Las autoridades reconocieron la mejora en la situación de la pandemi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 en el país, pero al mismo tiempo piden a la ciudadanía no bajar la guardia, mantener la aplicación de protocolos y continuar con el proceso de vacunación para evitar nuevos brotes de contagios como los vividos en China, Alemania, Austria, Países Bajos, R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usia, entre otros. Lo cual la Organización Mundial de Salud ha llamado “la pandemia de los no vacunados“.</w:t>
            </w:r>
          </w:p>
          <w:p w14:paraId="5B5ECEFC" w14:textId="77777777" w:rsidR="00000000" w:rsidRDefault="0075230D">
            <w:pPr>
              <w:spacing w:after="0"/>
              <w:ind w:right="310"/>
              <w:contextualSpacing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5F378704" w14:textId="77777777" w:rsidR="00000000" w:rsidRDefault="0075230D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Alexander Solís, presidente de la Comisión Nacional de la Prevención de Riesgos y Atención de Emergencias (CNE) reiteró el llamado a no relajar las m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edidas de autocuidado, “necesitamos mantener el esfuerzo de la vacunación,  el uso permanente de la mascarilla y el lavado de manos que nos ha dado este impacto positivo. Otros países en el mundo han enfrentado reducciones de casos, han bajado la guardia y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hoy están tomado medidas muy fuertes, por lo que mantener las medidas de seguridad va a ser la clave para que pronto salgamos de esta situación”, expuso.</w:t>
            </w:r>
          </w:p>
          <w:p w14:paraId="70438CC0" w14:textId="77777777" w:rsidR="00000000" w:rsidRDefault="0075230D">
            <w:pPr>
              <w:spacing w:after="0"/>
              <w:ind w:right="310"/>
              <w:contextualSpacing/>
              <w:rPr>
                <w:rFonts w:ascii="Calibri" w:hAnsi="Calibri" w:cs="Calibri"/>
                <w:b/>
              </w:rPr>
            </w:pPr>
          </w:p>
          <w:p w14:paraId="6A7B9BF5" w14:textId="77777777" w:rsidR="00000000" w:rsidRDefault="0075230D">
            <w:pPr>
              <w:spacing w:after="0"/>
              <w:ind w:right="310"/>
              <w:contextualSpacing/>
              <w:rPr>
                <w:rFonts w:ascii="Calibri" w:hAnsi="Calibri" w:cs="Calibri"/>
                <w:b/>
                <w:bCs/>
                <w:lang w:val="es-ES"/>
              </w:rPr>
            </w:pPr>
          </w:p>
          <w:p w14:paraId="231AE9BC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Evolución de la pandemia</w:t>
            </w:r>
          </w:p>
          <w:p w14:paraId="5A85A211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53A75F09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La semana epidemiológica #45 (comprendida entre el 7 y 13 de noviembre) reportó 1.720 casos, esto es una reducción del 32% respecto a la previa y es la semana con menos casos del año. De hecho, es el menor registro desde mediados de junio del 2020, cuando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se registraron 1.572 contagios en una semana.</w:t>
            </w:r>
          </w:p>
          <w:p w14:paraId="56F5B595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2B4402C0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Además, de acuerdo con datos de la Sala de Análisis de Situación Nacional, el país presenta tendencias positivas en la reducción de hospitalizaciones y fallecimientos asociados con COVID-19. En las últimas dos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semanas el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lastRenderedPageBreak/>
              <w:t>promedio total de hospitalizaciones pasó de 689 internamientos a 433, tendencia reflejada en la atención de cuidados intensivos donde la ocupación promedio bajó de 414 camas a 256 en el mismo periodo.</w:t>
            </w:r>
          </w:p>
          <w:p w14:paraId="6B2A4F9F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513D78BA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En el caso de los fallecimientos, después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un pico que llegó a promediar diariamente 32 muertes al final de setiembre, la última semana continuó la reducción paulatina y alcanzó un promedio de 9 muertes diarias.</w:t>
            </w:r>
          </w:p>
          <w:p w14:paraId="3E4D5C0D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38D12874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Producto de la evolución de los principales indicadores epidemiológicos, los siguiente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s cantones bajan su nivel de alerta de naranja a amarilla:</w:t>
            </w:r>
          </w:p>
          <w:p w14:paraId="4B09B9CA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14:paraId="4F295771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Alajuela: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San Mateo y Zarcero</w:t>
            </w:r>
          </w:p>
          <w:p w14:paraId="000C7AD2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Heredia: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Sarapiquí</w:t>
            </w:r>
          </w:p>
          <w:p w14:paraId="79D08BEC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Guanacaste: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Bagaces, Carrillo y Nicoya</w:t>
            </w:r>
          </w:p>
          <w:p w14:paraId="5094E16F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Puntarenas: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 Osa y Quepos</w:t>
            </w:r>
          </w:p>
          <w:p w14:paraId="7A993ACF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val="es-ES" w:eastAsia="es-ES"/>
              </w:rPr>
              <w:t>Limón: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Limón y Matina</w:t>
            </w:r>
          </w:p>
          <w:p w14:paraId="63720F15" w14:textId="77777777" w:rsidR="00000000" w:rsidRDefault="0075230D">
            <w:pPr>
              <w:spacing w:after="0"/>
              <w:ind w:right="310"/>
              <w:contextualSpacing/>
              <w:jc w:val="both"/>
              <w:rPr>
                <w:rFonts w:ascii="Calibri" w:hAnsi="Calibri" w:cs="Calibri"/>
                <w:bCs/>
                <w:lang w:val="es-ES"/>
              </w:rPr>
            </w:pPr>
          </w:p>
          <w:p w14:paraId="29B98A72" w14:textId="77777777" w:rsidR="00000000" w:rsidRDefault="0075230D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DE1" w14:textId="77777777" w:rsidR="00000000" w:rsidRDefault="007523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67D07B4A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8D5" w14:textId="77777777" w:rsidR="00000000" w:rsidRDefault="007523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0BE" w14:textId="77777777" w:rsidR="00000000" w:rsidRDefault="007523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028" w14:textId="77777777" w:rsidR="00000000" w:rsidRDefault="007523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764" w14:textId="77777777" w:rsidR="00000000" w:rsidRDefault="007523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0B8" w14:textId="77777777" w:rsidR="00000000" w:rsidRDefault="007523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111" w14:textId="77777777" w:rsidR="00000000" w:rsidRDefault="0075230D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4416B84C" w14:textId="77777777" w:rsidR="00000000" w:rsidRDefault="0075230D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C659" w14:textId="77777777" w:rsidR="00000000" w:rsidRDefault="0075230D">
      <w:pPr>
        <w:spacing w:after="0" w:line="240" w:lineRule="auto"/>
      </w:pPr>
      <w:r>
        <w:separator/>
      </w:r>
    </w:p>
  </w:endnote>
  <w:endnote w:type="continuationSeparator" w:id="0">
    <w:p w14:paraId="6BEFC9F7" w14:textId="77777777" w:rsidR="00000000" w:rsidRDefault="0075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6896" w14:textId="77777777" w:rsidR="00000000" w:rsidRDefault="0075230D">
      <w:pPr>
        <w:spacing w:after="0" w:line="240" w:lineRule="auto"/>
      </w:pPr>
      <w:r>
        <w:separator/>
      </w:r>
    </w:p>
  </w:footnote>
  <w:footnote w:type="continuationSeparator" w:id="0">
    <w:p w14:paraId="14B0AD1B" w14:textId="77777777" w:rsidR="00000000" w:rsidRDefault="0075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FB75" w14:textId="77777777" w:rsidR="00000000" w:rsidRDefault="0075230D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82B74"/>
    <w:multiLevelType w:val="multilevel"/>
    <w:tmpl w:val="8DC68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9957389">
    <w:abstractNumId w:val="0"/>
  </w:num>
  <w:num w:numId="2" w16cid:durableId="1745950517">
    <w:abstractNumId w:val="0"/>
  </w:num>
  <w:num w:numId="3" w16cid:durableId="1869488400">
    <w:abstractNumId w:val="0"/>
    <w:lvlOverride w:ilvl="0"/>
  </w:num>
  <w:num w:numId="4" w16cid:durableId="319888253">
    <w:abstractNumId w:val="1"/>
  </w:num>
  <w:num w:numId="5" w16cid:durableId="12525927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0D"/>
    <w:rsid w:val="007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B5EAAE0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2022-05-13T20:22:00Z</dcterms:created>
  <dcterms:modified xsi:type="dcterms:W3CDTF">2022-05-13T20:22:00Z</dcterms:modified>
</cp:coreProperties>
</file>