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41"/>
        <w:gridCol w:w="2968"/>
        <w:gridCol w:w="2934"/>
        <w:gridCol w:w="490"/>
        <w:gridCol w:w="220"/>
      </w:tblGrid>
      <w:tr w:rsidR="00000000" w14:paraId="3220FB03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44B4" w14:textId="77777777" w:rsidR="00000000" w:rsidRDefault="00183F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8B0D" w14:textId="77777777" w:rsidR="00000000" w:rsidRDefault="00183F2D">
            <w:pPr>
              <w:spacing w:after="0"/>
              <w:ind w:left="567" w:right="735"/>
              <w:contextualSpacing/>
              <w:jc w:val="right"/>
              <w:rPr>
                <w:rFonts w:ascii="Arial" w:hAnsi="Arial" w:cs="Arial"/>
                <w:color w:val="434343"/>
                <w:sz w:val="20"/>
              </w:rPr>
            </w:pPr>
          </w:p>
          <w:p w14:paraId="286F4D83" w14:textId="77777777" w:rsidR="00000000" w:rsidRDefault="00183F2D">
            <w:pPr>
              <w:pStyle w:val="Prrafodelista"/>
              <w:spacing w:line="240" w:lineRule="auto"/>
              <w:ind w:left="567" w:right="735"/>
              <w:jc w:val="center"/>
              <w:rPr>
                <w:bCs/>
                <w:sz w:val="24"/>
                <w:szCs w:val="24"/>
                <w:lang w:val="es-ES"/>
              </w:rPr>
            </w:pPr>
            <w:r>
              <w:rPr>
                <w:bCs/>
                <w:sz w:val="24"/>
                <w:szCs w:val="24"/>
                <w:lang w:val="es-ES"/>
              </w:rPr>
              <w:t>Continúa alerta naranja para todo el país:</w:t>
            </w:r>
          </w:p>
          <w:p w14:paraId="50FD619F" w14:textId="77777777" w:rsidR="00000000" w:rsidRDefault="00183F2D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  <w:lang w:val="es-ES"/>
              </w:rPr>
              <w:t>País supera los 10.000 contagios semanales por décima vez consecutiva</w:t>
            </w:r>
          </w:p>
          <w:p w14:paraId="2396F218" w14:textId="77777777" w:rsidR="00000000" w:rsidRDefault="00183F2D">
            <w:pPr>
              <w:ind w:right="452"/>
              <w:jc w:val="center"/>
              <w:rPr>
                <w:b/>
                <w:bCs/>
                <w:iCs/>
              </w:rPr>
            </w:pPr>
            <w:r>
              <w:rPr>
                <w:b/>
                <w:noProof/>
              </w:rPr>
              <w:drawing>
                <wp:inline distT="0" distB="0" distL="0" distR="0" wp14:anchorId="2B75EFC3" wp14:editId="667BCFF3">
                  <wp:extent cx="6114415" cy="4364990"/>
                  <wp:effectExtent l="0" t="0" r="635" b="0"/>
                  <wp:docPr id="1" name="Imagen 1" descr="Map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ap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415" cy="436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D25AAF" w14:textId="77777777" w:rsidR="00000000" w:rsidRDefault="00183F2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67" w:right="452" w:hanging="283"/>
              <w:jc w:val="both"/>
              <w:rPr>
                <w:b/>
                <w:bCs/>
                <w:iCs/>
                <w:sz w:val="24"/>
                <w:szCs w:val="24"/>
                <w:lang w:val="es-ES"/>
              </w:rPr>
            </w:pPr>
            <w:r>
              <w:rPr>
                <w:b/>
                <w:bCs/>
                <w:iCs/>
                <w:sz w:val="24"/>
                <w:szCs w:val="24"/>
                <w:lang w:val="es-ES"/>
              </w:rPr>
              <w:t>Semana anterior registró 10.073 casos nuevos de COVID-19.</w:t>
            </w:r>
          </w:p>
          <w:p w14:paraId="50EDCEDA" w14:textId="77777777" w:rsidR="00000000" w:rsidRDefault="00183F2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67" w:right="452" w:hanging="283"/>
              <w:jc w:val="both"/>
              <w:rPr>
                <w:b/>
                <w:bCs/>
                <w:iCs/>
                <w:sz w:val="24"/>
                <w:szCs w:val="24"/>
                <w:lang w:val="es-ES"/>
              </w:rPr>
            </w:pPr>
            <w:r>
              <w:rPr>
                <w:b/>
                <w:bCs/>
                <w:iCs/>
                <w:sz w:val="24"/>
                <w:szCs w:val="24"/>
                <w:lang w:val="es-ES"/>
              </w:rPr>
              <w:t xml:space="preserve">Alta </w:t>
            </w:r>
            <w:r>
              <w:rPr>
                <w:b/>
                <w:bCs/>
                <w:iCs/>
                <w:sz w:val="24"/>
                <w:szCs w:val="24"/>
                <w:lang w:val="es-ES"/>
              </w:rPr>
              <w:t xml:space="preserve">cantidad de casos mantiene saturadas camas de cuidados intensivos. </w:t>
            </w:r>
          </w:p>
          <w:p w14:paraId="4E2574F5" w14:textId="77777777" w:rsidR="00000000" w:rsidRDefault="00183F2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67" w:right="452" w:hanging="283"/>
              <w:jc w:val="both"/>
              <w:rPr>
                <w:b/>
                <w:bCs/>
                <w:iCs/>
                <w:sz w:val="24"/>
                <w:szCs w:val="24"/>
                <w:lang w:val="es-ES"/>
              </w:rPr>
            </w:pPr>
            <w:r>
              <w:rPr>
                <w:b/>
                <w:bCs/>
                <w:iCs/>
                <w:sz w:val="24"/>
                <w:szCs w:val="24"/>
                <w:lang w:val="es-ES"/>
              </w:rPr>
              <w:t>País mantiene alerta naranja ante alta circulación del virus.</w:t>
            </w:r>
          </w:p>
          <w:p w14:paraId="0E04CD33" w14:textId="77777777" w:rsidR="00000000" w:rsidRDefault="00183F2D">
            <w:pPr>
              <w:ind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San José, 29 de junio del 2021</w:t>
            </w:r>
            <w:r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</w:rPr>
              <w:t xml:space="preserve"> La semana anterior se registraron 10.073 nuevos casos por COVID-19 en el país, llegando así a</w:t>
            </w:r>
            <w:r>
              <w:rPr>
                <w:rFonts w:ascii="Arial" w:hAnsi="Arial" w:cs="Arial"/>
              </w:rPr>
              <w:t xml:space="preserve"> la décima semana consecutiva en la que se sobrepasan los 10.000 casos, cifra que no se alcanzó durante el primer año de pandemia. </w:t>
            </w:r>
          </w:p>
          <w:p w14:paraId="6940CA1C" w14:textId="77777777" w:rsidR="00000000" w:rsidRDefault="00183F2D">
            <w:pPr>
              <w:ind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alta circulación del virus que registra más de 133.000 casos desde finales de abril, así como la alta ocupación en unidad</w:t>
            </w:r>
            <w:r>
              <w:rPr>
                <w:rFonts w:ascii="Arial" w:hAnsi="Arial" w:cs="Arial"/>
              </w:rPr>
              <w:t xml:space="preserve">es de cuidados intensivos (UCI) llevaron al Centro de Operaciones de Emergencias y a la Comisión Nacional de Prevención de Riesgos y Atención de Emergencias a mantener la alerta naranja en los 82 cantones del país. </w:t>
            </w:r>
          </w:p>
          <w:p w14:paraId="759670EE" w14:textId="77777777" w:rsidR="00000000" w:rsidRDefault="00183F2D">
            <w:pPr>
              <w:ind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Sigifredo Pérez, director de Gestión de </w:t>
            </w:r>
            <w:r>
              <w:rPr>
                <w:rFonts w:ascii="Arial" w:hAnsi="Arial" w:cs="Arial"/>
              </w:rPr>
              <w:t xml:space="preserve">Riesgo de la Comisión Nacional de Prevención de Riesgos y Atención de Emergencias (CNE), mencionó que se han hecho todas las valoraciones por región en cuanto a la positividad, hospitalización y las tasas de contagio. “Al </w:t>
            </w:r>
            <w:r>
              <w:rPr>
                <w:rFonts w:ascii="Arial" w:hAnsi="Arial" w:cs="Arial"/>
              </w:rPr>
              <w:lastRenderedPageBreak/>
              <w:t>mantener la alerta naranja una sem</w:t>
            </w:r>
            <w:r>
              <w:rPr>
                <w:rFonts w:ascii="Arial" w:hAnsi="Arial" w:cs="Arial"/>
              </w:rPr>
              <w:t>ana más, le estamos pidiendo a las personas de todas las comunidades a que sigan manteniendo los protocolos y a no relajar las medidas”, comentó.</w:t>
            </w:r>
          </w:p>
          <w:p w14:paraId="277755B8" w14:textId="77777777" w:rsidR="00000000" w:rsidRDefault="00183F2D">
            <w:pPr>
              <w:ind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acuerdo con datos de las autoridades de salud, después de más de una semana con una tendencia a la reducción de hospitalizaciones, este fin de semana se marcó un nuevo incremento al pasar de 903 internados el sábado a 931 este martes. Actualmente, 386 pers</w:t>
            </w:r>
            <w:r>
              <w:rPr>
                <w:rFonts w:ascii="Arial" w:hAnsi="Arial" w:cs="Arial"/>
              </w:rPr>
              <w:t>onas están requiriendo atención de cuidados intensivos, cuando la capacidad óptima máxima es para 359 pacientes.</w:t>
            </w:r>
          </w:p>
          <w:p w14:paraId="2820460B" w14:textId="77777777" w:rsidR="00000000" w:rsidRDefault="00183F2D">
            <w:pPr>
              <w:ind w:right="4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acuerdo con datos de la Sala de Análisis de Situación Nacional: </w:t>
            </w:r>
          </w:p>
          <w:p w14:paraId="792BD16F" w14:textId="77777777" w:rsidR="00000000" w:rsidRDefault="00183F2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Cada 68 minutos hay un ingreso nuevo a UCI</w:t>
            </w:r>
          </w:p>
          <w:p w14:paraId="210E8D6E" w14:textId="77777777" w:rsidR="00000000" w:rsidRDefault="00183F2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Cada 23 minutos hay un ingreso n</w:t>
            </w:r>
            <w:r>
              <w:rPr>
                <w:lang w:val="es-ES"/>
              </w:rPr>
              <w:t>uevo a salón</w:t>
            </w:r>
          </w:p>
          <w:p w14:paraId="46548369" w14:textId="77777777" w:rsidR="00000000" w:rsidRDefault="00183F2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Cada 17 minutos se hospitaliza una persona con COVID-19</w:t>
            </w:r>
          </w:p>
          <w:p w14:paraId="334233CE" w14:textId="77777777" w:rsidR="00000000" w:rsidRDefault="00183F2D">
            <w:pPr>
              <w:ind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Sala reportó que 36 cantones en todas las provincias mostraron un incremento en nivel de contagio, siendo Vázquez de Coronado, Goicoechea y San Carlos los que presentaron mayor crecimi</w:t>
            </w:r>
            <w:r>
              <w:rPr>
                <w:rFonts w:ascii="Arial" w:hAnsi="Arial" w:cs="Arial"/>
              </w:rPr>
              <w:t>ento de una semana a otra.</w:t>
            </w:r>
          </w:p>
          <w:p w14:paraId="0DCA2574" w14:textId="77777777" w:rsidR="00000000" w:rsidRDefault="00183F2D">
            <w:pPr>
              <w:ind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10 cantones que reportaron mayor contagio durante la semana anterior fueron San José, Alajuela, Desamparados, San Carlos, Cartago, Goicoechea, Puntarenas, Heredia, Vázquez de Coronado y Alajuelita con un total de 4.547 casos,</w:t>
            </w:r>
            <w:r>
              <w:rPr>
                <w:rFonts w:ascii="Arial" w:hAnsi="Arial" w:cs="Arial"/>
              </w:rPr>
              <w:t xml:space="preserve"> lo que equivale a un 45% del total de personas contagiadas.</w:t>
            </w:r>
          </w:p>
          <w:p w14:paraId="1F0B8EC9" w14:textId="77777777" w:rsidR="00000000" w:rsidRDefault="00183F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7EFA" w14:textId="77777777" w:rsidR="00000000" w:rsidRDefault="00183F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 w14:paraId="63FF67F0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72CA" w14:textId="77777777" w:rsidR="00000000" w:rsidRDefault="00183F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7AE9" w14:textId="77777777" w:rsidR="00000000" w:rsidRDefault="00183F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1A16" w14:textId="77777777" w:rsidR="00000000" w:rsidRDefault="00183F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5E83" w14:textId="77777777" w:rsidR="00000000" w:rsidRDefault="00183F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9AFE" w14:textId="77777777" w:rsidR="00000000" w:rsidRDefault="00183F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ACC1" w14:textId="77777777" w:rsidR="00000000" w:rsidRDefault="00183F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14:paraId="58435DE5" w14:textId="77777777" w:rsidR="00000000" w:rsidRDefault="00183F2D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53CA6"/>
    <w:multiLevelType w:val="hybridMultilevel"/>
    <w:tmpl w:val="BB4E1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44E7A"/>
    <w:multiLevelType w:val="hybridMultilevel"/>
    <w:tmpl w:val="D134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545521">
    <w:abstractNumId w:val="1"/>
  </w:num>
  <w:num w:numId="2" w16cid:durableId="200049934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82641868">
    <w:abstractNumId w:val="0"/>
  </w:num>
  <w:num w:numId="4" w16cid:durableId="197093980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2D"/>
    <w:rsid w:val="0018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CBB6434"/>
  <w15:chartTrackingRefBased/>
  <w15:docId w15:val="{4EAFB22B-3936-45AE-B77D-81F2223D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2022-05-13T20:24:00Z</dcterms:created>
  <dcterms:modified xsi:type="dcterms:W3CDTF">2022-05-13T20:24:00Z</dcterms:modified>
</cp:coreProperties>
</file>