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"/>
        <w:gridCol w:w="821"/>
        <w:gridCol w:w="3104"/>
        <w:gridCol w:w="3033"/>
        <w:gridCol w:w="284"/>
        <w:gridCol w:w="265"/>
      </w:tblGrid>
      <w:tr w:rsidR="00000000" w14:paraId="76496D35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A8D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470" w14:textId="77777777" w:rsidR="00000000" w:rsidRDefault="0052483C">
            <w:pPr>
              <w:pStyle w:val="Ttulo1"/>
              <w:jc w:val="center"/>
              <w:rPr>
                <w:rFonts w:eastAsia="Arial"/>
                <w:b/>
                <w:bCs/>
                <w:lang w:eastAsia="es-ES_tradnl"/>
              </w:rPr>
            </w:pPr>
            <w:r>
              <w:rPr>
                <w:rFonts w:eastAsia="Arial"/>
                <w:b/>
                <w:bCs/>
                <w:lang w:eastAsia="es-ES_tradnl"/>
              </w:rPr>
              <w:t>Pfizer/BioNTech ha entregado el 80% de las vacunas contratadas</w:t>
            </w:r>
          </w:p>
          <w:p w14:paraId="6FA4A835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1AD5EC32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●</w:t>
            </w:r>
            <w:r>
              <w:rPr>
                <w:rFonts w:ascii="Arial" w:eastAsia="Arial" w:hAnsi="Arial" w:cs="Arial"/>
                <w:lang w:eastAsia="es-ES_tradnl"/>
              </w:rPr>
              <w:tab/>
              <w:t>Esta noche ingresaron 108.810 dosis contra COVID-19 de esa casa farmacéutica.</w:t>
            </w:r>
          </w:p>
          <w:p w14:paraId="1BD30638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09A253D6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●</w:t>
            </w:r>
            <w:r>
              <w:rPr>
                <w:rFonts w:ascii="Arial" w:eastAsia="Arial" w:hAnsi="Arial" w:cs="Arial"/>
                <w:lang w:eastAsia="es-ES_tradnl"/>
              </w:rPr>
              <w:tab/>
              <w:t xml:space="preserve">Empresa está a </w:t>
            </w:r>
            <w:r>
              <w:rPr>
                <w:rFonts w:ascii="Arial" w:eastAsia="Arial" w:hAnsi="Arial" w:cs="Arial"/>
                <w:lang w:eastAsia="es-ES_tradnl"/>
              </w:rPr>
              <w:t>1.215.630 dosis de completar el contrato de compra.</w:t>
            </w:r>
          </w:p>
          <w:p w14:paraId="3376E2C7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72E6C24F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●</w:t>
            </w:r>
            <w:r>
              <w:rPr>
                <w:rFonts w:ascii="Arial" w:eastAsia="Arial" w:hAnsi="Arial" w:cs="Arial"/>
                <w:lang w:eastAsia="es-ES_tradnl"/>
              </w:rPr>
              <w:tab/>
              <w:t>En total se han recibido más de 6,7 millones de vacunas desde diciembre.</w:t>
            </w:r>
          </w:p>
          <w:p w14:paraId="19B93E9F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72A41F38" w14:textId="77777777" w:rsidR="00000000" w:rsidRDefault="0052483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Jueves 14 de octubre de 2021.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lang w:eastAsia="es-ES_tradnl"/>
              </w:rPr>
              <w:t>Este jueves, el país recibió 108.810 dosis contra el SARS-CoV-2 del contrato de compra con la cas</w:t>
            </w:r>
            <w:r>
              <w:rPr>
                <w:rFonts w:ascii="Arial" w:eastAsia="Arial" w:hAnsi="Arial" w:cs="Arial"/>
                <w:lang w:eastAsia="es-ES_tradnl"/>
              </w:rPr>
              <w:t>a farmacéutica Pfizer/BioNTech. Con esto, la empresa ha enviado el 79,74% de las vacunas acordadas en el contrato.</w:t>
            </w:r>
          </w:p>
          <w:p w14:paraId="1D4E8FCC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69EF40AD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Es decir, la empresa tiene pendiente por entregar 1.215.630 dosis de su contrato. Estas serán enviadas, paulatinamente, durante los tres mes</w:t>
            </w:r>
            <w:r>
              <w:rPr>
                <w:rFonts w:ascii="Arial" w:eastAsia="Arial" w:hAnsi="Arial" w:cs="Arial"/>
                <w:lang w:eastAsia="es-ES_tradnl"/>
              </w:rPr>
              <w:t>es restantes del año para completar las 6.001.125 vacunas de este contrato de compra.</w:t>
            </w:r>
          </w:p>
          <w:p w14:paraId="1A911633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4B0D64D7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 xml:space="preserve">El lote número 52 ingresó esta noche, a las 8:43 p. m., a Base 2 del aeropuerto internacional Juan Santamaría en un vuelo de la compañía DHL. </w:t>
            </w:r>
          </w:p>
          <w:p w14:paraId="5BE25C6D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1600B703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A la fecha, Costa Rica re</w:t>
            </w:r>
            <w:r>
              <w:rPr>
                <w:rFonts w:ascii="Arial" w:eastAsia="Arial" w:hAnsi="Arial" w:cs="Arial"/>
                <w:lang w:eastAsia="es-ES_tradnl"/>
              </w:rPr>
              <w:t>gistra una suma acumulada de 6.761.945 dosis recibidas. De este total, 5.820.045 vacunas corresponden a contratos de compra (4.785.495 Pfizer/BioNTech, 775.200 AstraZeneca y 259.350 por medio del mecanismo multilateral COVAX).</w:t>
            </w:r>
          </w:p>
          <w:p w14:paraId="3479B9C5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3CD87F93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Además, Costa Rica ha recibi</w:t>
            </w:r>
            <w:r>
              <w:rPr>
                <w:rFonts w:ascii="Arial" w:eastAsia="Arial" w:hAnsi="Arial" w:cs="Arial"/>
                <w:lang w:eastAsia="es-ES_tradnl"/>
              </w:rPr>
              <w:t xml:space="preserve">do 941.900 dosis donadas, que corresponden a las entregas de los Gobiernos de Estados Unidos (503.100), Canadá (319.200), España (69.600) y Austria (50.000). </w:t>
            </w:r>
          </w:p>
          <w:p w14:paraId="58A30F68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0292DCEE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>A la fecha, octubre suma 266.450 dosis recibidas. Ver cuadro detalle.</w:t>
            </w:r>
          </w:p>
          <w:p w14:paraId="57324943" w14:textId="77777777" w:rsidR="00000000" w:rsidRDefault="0052483C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</w:p>
          <w:p w14:paraId="3F316F07" w14:textId="77777777" w:rsidR="00000000" w:rsidRDefault="0052483C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noProof/>
                <w:lang w:eastAsia="es-ES_tradnl"/>
              </w:rPr>
              <w:drawing>
                <wp:inline distT="0" distB="0" distL="0" distR="0" wp14:anchorId="6DBE540A" wp14:editId="39AAE963">
                  <wp:extent cx="2035810" cy="2298065"/>
                  <wp:effectExtent l="0" t="0" r="2540" b="6985"/>
                  <wp:docPr id="1" name="Imagen 1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de la pantalla de un celular con letra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29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D284C" w14:textId="77777777" w:rsidR="00000000" w:rsidRDefault="0052483C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**A la fecha.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6A7FD3C2" w14:textId="77777777" w:rsidR="00000000" w:rsidRDefault="005248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que las dosis arriban al país, son sometidas a la revisión de los reportes de temperatura y aprobación documental por el laboratorio de control de calidad de medicamentos, tras lo cual quedan disponibles para su utilización en la c</w:t>
            </w:r>
            <w:r>
              <w:rPr>
                <w:rFonts w:ascii="Arial" w:eastAsia="Arial" w:hAnsi="Arial" w:cs="Arial"/>
              </w:rPr>
              <w:t>ampaña de vacunación.</w:t>
            </w:r>
          </w:p>
          <w:p w14:paraId="44EBA5BF" w14:textId="77777777" w:rsidR="00000000" w:rsidRDefault="005248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Aplicación.</w:t>
            </w:r>
            <w:r>
              <w:rPr>
                <w:rFonts w:ascii="Arial" w:eastAsia="Arial" w:hAnsi="Arial" w:cs="Arial"/>
              </w:rPr>
              <w:t xml:space="preserve"> Al 11 de octubre la Caja Costarricense de Seguro Social (CCSS) reporta una aplicación acumulada de 5.921.089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dosis. De ese total 3.525.260 personas cuentan con al menos una dosis de la vacuna, es decir el 68,3% de la pobla</w:t>
            </w:r>
            <w:r>
              <w:rPr>
                <w:rFonts w:ascii="Arial" w:eastAsia="Arial" w:hAnsi="Arial" w:cs="Arial"/>
              </w:rPr>
              <w:t>ción.</w:t>
            </w:r>
          </w:p>
          <w:p w14:paraId="1F427C49" w14:textId="77777777" w:rsidR="00000000" w:rsidRDefault="0052483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Además, 2.395.829 personas tienen dos dosis, 46,4% de la ciudadanía. Durante el mes de octubre se han aplicado 324.594 dosis.</w:t>
            </w:r>
          </w:p>
          <w:p w14:paraId="54A6C593" w14:textId="77777777" w:rsidR="00000000" w:rsidRDefault="0052483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6CC84837" wp14:editId="5A874A3C">
                  <wp:extent cx="2083435" cy="2258060"/>
                  <wp:effectExtent l="0" t="0" r="0" b="8890"/>
                  <wp:docPr id="2" name="Imagen 2" descr="Un conjunto de letras negras en un fondo blanc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 conjunto de letras negras en un fondo blanc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25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67611" w14:textId="77777777" w:rsidR="00000000" w:rsidRDefault="0052483C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**A la fecha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</w:p>
          <w:p w14:paraId="361C1F9A" w14:textId="77777777" w:rsidR="00000000" w:rsidRDefault="0052483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 xml:space="preserve">El Gobierno de la República continúa el llamado a las personas que hacen falta de vacunarse de acercarse </w:t>
            </w:r>
            <w:r>
              <w:rPr>
                <w:rFonts w:ascii="Arial" w:hAnsi="Arial" w:cs="Arial"/>
              </w:rPr>
              <w:t>a los centros de vacunación, ya que esta población se ha convertido en la más expuesta en la hospitalización a causa de complicaciones por el virus del SARS-CoV-2. Además, la vacunación hoy representa la forma más segura de protegerse y reactivar la econom</w:t>
            </w:r>
            <w:r>
              <w:rPr>
                <w:rFonts w:ascii="Arial" w:hAnsi="Arial" w:cs="Arial"/>
              </w:rPr>
              <w:t>ía.</w:t>
            </w:r>
            <w:r>
              <w:rPr>
                <w:rStyle w:val="None"/>
                <w:rFonts w:ascii="Arial" w:hAnsi="Arial" w:cs="Arial"/>
                <w:lang w:val="es-CR"/>
              </w:rPr>
              <w:t xml:space="preserve"> </w:t>
            </w:r>
          </w:p>
          <w:p w14:paraId="6FF51DFA" w14:textId="77777777" w:rsidR="00000000" w:rsidRDefault="0052483C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ES_tradn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127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1B795DE1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480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237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197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035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644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491" w14:textId="77777777" w:rsidR="00000000" w:rsidRDefault="0052483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1A1333FE" w14:textId="77777777" w:rsidR="00000000" w:rsidRDefault="0052483C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3C"/>
    <w:rsid w:val="005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C12F14C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character" w:customStyle="1" w:styleId="None">
    <w:name w:val="None"/>
    <w:rPr>
      <w:lang w:val="es-ES_tradnl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2022-05-13T20:24:00Z</dcterms:created>
  <dcterms:modified xsi:type="dcterms:W3CDTF">2022-05-13T20:24:00Z</dcterms:modified>
</cp:coreProperties>
</file>