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7334"/>
        <w:gridCol w:w="220"/>
      </w:tblGrid>
      <w:tr w:rsidR="00000000" w14:paraId="53A458F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F0F" w14:textId="77777777" w:rsidR="00000000" w:rsidRDefault="005A04E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95C5" w14:textId="77777777" w:rsidR="00000000" w:rsidRDefault="005A04E6">
            <w:pPr>
              <w:spacing w:line="240" w:lineRule="auto"/>
              <w:ind w:right="7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mantiene la alerta naranja para todo el país:</w:t>
            </w:r>
          </w:p>
          <w:p w14:paraId="05D17FCF" w14:textId="77777777" w:rsidR="00000000" w:rsidRDefault="005A04E6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Saturación hospitalaria persiste a pesar de disminución de casos</w:t>
            </w:r>
          </w:p>
          <w:p w14:paraId="5120E87D" w14:textId="77777777" w:rsidR="00000000" w:rsidRDefault="005A04E6"/>
          <w:p w14:paraId="7683D767" w14:textId="77777777" w:rsidR="00000000" w:rsidRDefault="005A0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lang w:val="es-ES"/>
              </w:rPr>
              <w:t xml:space="preserve">Unidades de </w:t>
            </w:r>
            <w:r>
              <w:rPr>
                <w:rFonts w:ascii="Arial" w:hAnsi="Arial" w:cs="Arial"/>
                <w:b/>
                <w:bCs/>
                <w:i/>
                <w:lang w:val="es-ES"/>
              </w:rPr>
              <w:t>cuidados intensivos atienden 478 personas cuando la capacidad óptima máxima es para 359.</w:t>
            </w:r>
          </w:p>
          <w:p w14:paraId="3AEB7C03" w14:textId="77777777" w:rsidR="00000000" w:rsidRDefault="005A04E6">
            <w:pPr>
              <w:pStyle w:val="Prrafodelista"/>
              <w:spacing w:line="240" w:lineRule="auto"/>
              <w:ind w:left="567" w:right="452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</w:p>
          <w:p w14:paraId="770140A6" w14:textId="77777777" w:rsidR="00000000" w:rsidRDefault="005A0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lang w:val="es-ES"/>
              </w:rPr>
              <w:t>País presentó 11.727 nuevos contagios la semana anterior.</w:t>
            </w:r>
          </w:p>
          <w:p w14:paraId="061A1E0A" w14:textId="77777777" w:rsidR="00000000" w:rsidRDefault="005A04E6">
            <w:pPr>
              <w:pStyle w:val="Prrafodelista"/>
              <w:rPr>
                <w:rFonts w:ascii="Arial" w:hAnsi="Arial" w:cs="Arial"/>
                <w:b/>
                <w:bCs/>
                <w:i/>
                <w:lang w:val="es-ES"/>
              </w:rPr>
            </w:pPr>
          </w:p>
          <w:p w14:paraId="32FF1151" w14:textId="77777777" w:rsidR="00000000" w:rsidRDefault="005A0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lang w:val="es-ES"/>
              </w:rPr>
              <w:t>29 cantones reportaron aumentos de casos COVID-19 durante la semana pasada.</w:t>
            </w:r>
          </w:p>
          <w:p w14:paraId="7E48264A" w14:textId="77777777" w:rsidR="00000000" w:rsidRDefault="005A04E6">
            <w:pPr>
              <w:ind w:right="452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30F1EB3B" w14:textId="77777777" w:rsidR="00000000" w:rsidRDefault="005A0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lang w:val="es-ES"/>
              </w:rPr>
              <w:t>CNE extiende una semana más al</w:t>
            </w:r>
            <w:r>
              <w:rPr>
                <w:rFonts w:ascii="Arial" w:hAnsi="Arial" w:cs="Arial"/>
                <w:b/>
                <w:bCs/>
                <w:i/>
                <w:lang w:val="es-ES"/>
              </w:rPr>
              <w:t>erta naranja en los 82 cantones</w:t>
            </w:r>
          </w:p>
          <w:p w14:paraId="4BDA0422" w14:textId="77777777" w:rsidR="00000000" w:rsidRDefault="005A04E6">
            <w:pPr>
              <w:ind w:right="452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05DD740E" w14:textId="77777777" w:rsidR="00000000" w:rsidRDefault="005A0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lang w:val="es-ES"/>
              </w:rPr>
              <w:t>Índice de Riesgo país se mantiene elevado, por esa razón, no hay cantones que bajen su condición de alerta</w:t>
            </w:r>
          </w:p>
          <w:p w14:paraId="1BB9FF8D" w14:textId="77777777" w:rsidR="00000000" w:rsidRDefault="005A04E6">
            <w:pPr>
              <w:pStyle w:val="Prrafodelista"/>
              <w:rPr>
                <w:rFonts w:ascii="Arial" w:hAnsi="Arial" w:cs="Arial"/>
                <w:b/>
                <w:bCs/>
                <w:i/>
                <w:lang w:val="es-ES"/>
              </w:rPr>
            </w:pPr>
          </w:p>
          <w:p w14:paraId="498D7C1E" w14:textId="77777777" w:rsidR="00000000" w:rsidRDefault="005A04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rFonts w:ascii="Arial" w:hAnsi="Arial" w:cs="Arial"/>
                <w:b/>
                <w:bCs/>
                <w:i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lang w:val="es-ES"/>
              </w:rPr>
              <w:t xml:space="preserve">Este lunes empezó </w:t>
            </w:r>
            <w:r>
              <w:rPr>
                <w:rFonts w:ascii="Arial" w:hAnsi="Arial" w:cs="Arial"/>
                <w:b/>
                <w:bCs/>
                <w:i/>
                <w:lang w:val="es-ES"/>
              </w:rPr>
              <w:t>a regir restricción vehicular sanitaria de dos placas por día de lunes a viernes. Fines de semana se mantiene restricción por placas pares e impares.</w:t>
            </w:r>
          </w:p>
          <w:p w14:paraId="53DF7811" w14:textId="77777777" w:rsidR="00000000" w:rsidRDefault="005A04E6">
            <w:pPr>
              <w:rPr>
                <w:b/>
                <w:bCs/>
                <w:iCs/>
              </w:rPr>
            </w:pPr>
          </w:p>
          <w:p w14:paraId="3F0E16F7" w14:textId="77777777" w:rsidR="00000000" w:rsidRDefault="005A04E6">
            <w:pPr>
              <w:ind w:righ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San José, 15 de junio del 2021</w:t>
            </w:r>
            <w:r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</w:rPr>
              <w:t>La Comisión Nacional de Prevención de Riesgos y Atención de Emergencias (</w:t>
            </w:r>
            <w:r>
              <w:rPr>
                <w:rFonts w:ascii="Arial" w:hAnsi="Arial" w:cs="Arial"/>
              </w:rPr>
              <w:t xml:space="preserve">CNE) y el Centro de Operaciones en Emergencias (COE) anunciaron este martes, que la alerta naranja establecida en los 82 cantones del país por los casos COVID-19 se mantiene una semana más. </w:t>
            </w:r>
          </w:p>
          <w:p w14:paraId="1A93E610" w14:textId="77777777" w:rsidR="00000000" w:rsidRDefault="005A04E6">
            <w:pPr>
              <w:ind w:righ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 con el reporte epidemiológico publicado por el Ministe</w:t>
            </w:r>
            <w:r>
              <w:rPr>
                <w:rFonts w:ascii="Arial" w:hAnsi="Arial" w:cs="Arial"/>
              </w:rPr>
              <w:t>rio de Salud, la capacidad óptima de atención en cuidados intensivos (359 camas) sigue superada al llegar a 478 personas en esta ocupación, lo cual implica que cualquier nuevo contagio que requiera este tipo de atención sufre el riesgo de no contar con los</w:t>
            </w:r>
            <w:r>
              <w:rPr>
                <w:rFonts w:ascii="Arial" w:hAnsi="Arial" w:cs="Arial"/>
              </w:rPr>
              <w:t xml:space="preserve"> recursos óptimos para su cuidado. En total se mantienen 1.245 personas hospitalizadas.</w:t>
            </w:r>
          </w:p>
          <w:p w14:paraId="36EDAF9B" w14:textId="77777777" w:rsidR="00000000" w:rsidRDefault="005A04E6">
            <w:pPr>
              <w:ind w:right="4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28F908B" wp14:editId="78A8F364">
                  <wp:extent cx="6122670" cy="3387090"/>
                  <wp:effectExtent l="0" t="0" r="0" b="3810"/>
                  <wp:docPr id="1" name="Imagen 1" descr="Gráfico, Gráfico de líne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ráfico, Gráfico de líneas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38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6A533" w14:textId="77777777" w:rsidR="00000000" w:rsidRDefault="005A04E6">
            <w:pPr>
              <w:ind w:right="454"/>
              <w:jc w:val="center"/>
              <w:rPr>
                <w:rFonts w:ascii="Arial" w:hAnsi="Arial" w:cs="Arial"/>
              </w:rPr>
            </w:pPr>
          </w:p>
          <w:p w14:paraId="7DAC71D6" w14:textId="77777777" w:rsidR="00000000" w:rsidRDefault="005A04E6">
            <w:pPr>
              <w:ind w:righ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semana anterior presentó 11.727 nuevos contagios, si bien esto significa una reducción de alrededor de 1.600 casos con referencia a la semana previa, el nivel de </w:t>
            </w:r>
            <w:r>
              <w:rPr>
                <w:rFonts w:ascii="Arial" w:hAnsi="Arial" w:cs="Arial"/>
              </w:rPr>
              <w:t>contagio sigue siendo elevado y muy por encima de los valores obtenidos en el año 2020. En promedio, se presentaron 1.675 casos diarios.</w:t>
            </w:r>
          </w:p>
          <w:p w14:paraId="5B98168D" w14:textId="77777777" w:rsidR="00000000" w:rsidRDefault="005A04E6">
            <w:pPr>
              <w:ind w:right="454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“Es la cuarta semana consecutiva en que vemos que el contagio ha bajado levemente, esperamos que esta tendencia se mant</w:t>
            </w:r>
            <w:r>
              <w:rPr>
                <w:rFonts w:ascii="Arial" w:hAnsi="Arial" w:cs="Arial"/>
                <w:iCs/>
              </w:rPr>
              <w:t>enga. El avance en la vacunación, las medidas de contención, el trabajo articulado de las instituciones y los Comités Municipales de Emergencia y el compromiso de las personas al aplicar los protocolos sanitarios está permitiendo esta desaceleración de cas</w:t>
            </w:r>
            <w:r>
              <w:rPr>
                <w:rFonts w:ascii="Arial" w:hAnsi="Arial" w:cs="Arial"/>
                <w:iCs/>
              </w:rPr>
              <w:t>os. A pesar de esto, es importante mantener los cuidados para evitar rebrotes y no presionar aún más el sistema hospitalario.”, explicó Alexander Solís, presidente de la CNE.</w:t>
            </w:r>
          </w:p>
          <w:p w14:paraId="74A60A24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Pese a la disminución de nuevos casos, 29 cantones registraron incrementos en las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cifras de contagios en sus localidades.</w:t>
            </w:r>
          </w:p>
          <w:p w14:paraId="20E00F00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4EAC39A8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Por ejemplo, La Cruz y Garabito duplicaron sus contagios en cuestión de una semana al pasar de 41 a 86 casos y de 56 a </w:t>
            </w:r>
            <w:r>
              <w:rPr>
                <w:rFonts w:ascii="Arial" w:hAnsi="Arial" w:cs="Arial"/>
                <w:color w:val="000000"/>
                <w:lang w:eastAsia="es-CR"/>
              </w:rPr>
              <w:t>102 nuevos positivos, respectivamente. Similar situación vivió Matina, Siquirres y Abangares, localidades que presentaron incrementos superiores al 30%.</w:t>
            </w:r>
          </w:p>
          <w:p w14:paraId="402CC6E3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10D6B8AD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R"/>
              </w:rPr>
              <w:t>Restricción vehicular sanitaria del 14 al 27 de junio</w:t>
            </w:r>
          </w:p>
          <w:p w14:paraId="18777FE5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3B722CC3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Las autoridades también recordaron a la poblaci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ón la vigencia de la restricción vehicular de solo dos placas por día entre semana. En </w:t>
            </w:r>
            <w:r>
              <w:rPr>
                <w:rFonts w:ascii="Arial" w:hAnsi="Arial" w:cs="Arial"/>
                <w:color w:val="000000"/>
                <w:lang w:eastAsia="es-CR"/>
              </w:rPr>
              <w:lastRenderedPageBreak/>
              <w:t xml:space="preserve">tanto, sábados y domingos seguirá siendo por placas pares e impares. </w:t>
            </w:r>
          </w:p>
          <w:p w14:paraId="262C1400" w14:textId="77777777" w:rsidR="00000000" w:rsidRDefault="005A04E6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040811B4" w14:textId="77777777" w:rsidR="00000000" w:rsidRDefault="005A04E6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Entre semana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n</w:t>
            </w:r>
            <w:r>
              <w:rPr>
                <w:rFonts w:ascii="Calibri" w:hAnsi="Calibri" w:cs="Calibri"/>
                <w:b/>
                <w:bCs/>
                <w:color w:val="222222"/>
                <w:u w:val="single"/>
              </w:rPr>
              <w:t>o circulan</w:t>
            </w:r>
            <w:r>
              <w:rPr>
                <w:rFonts w:ascii="Calibri" w:hAnsi="Calibri" w:cs="Calibri"/>
                <w:b/>
                <w:bCs/>
                <w:color w:val="222222"/>
              </w:rPr>
              <w:t>:</w:t>
            </w:r>
          </w:p>
          <w:p w14:paraId="449BE7BA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Lunes: 1 y 2</w:t>
            </w:r>
          </w:p>
          <w:p w14:paraId="2C15B366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Martes: 3 y 4</w:t>
            </w:r>
          </w:p>
          <w:p w14:paraId="579007F3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Miércoles: 5 y 6</w:t>
            </w:r>
          </w:p>
          <w:p w14:paraId="4B8DE273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Jueves: 7 y 8</w:t>
            </w:r>
          </w:p>
          <w:p w14:paraId="1D352235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Viernes: 9 y 0</w:t>
            </w:r>
          </w:p>
          <w:p w14:paraId="1A6E0939" w14:textId="77777777" w:rsidR="00000000" w:rsidRDefault="005A04E6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222222"/>
              </w:rPr>
              <w:t xml:space="preserve">Fines de semana </w:t>
            </w:r>
            <w:r>
              <w:rPr>
                <w:rFonts w:ascii="Calibri" w:hAnsi="Calibri" w:cs="Calibri"/>
                <w:b/>
                <w:bCs/>
                <w:color w:val="222222"/>
                <w:u w:val="single"/>
              </w:rPr>
              <w:t>no circulan</w:t>
            </w:r>
            <w:r>
              <w:rPr>
                <w:rFonts w:ascii="Calibri" w:hAnsi="Calibri" w:cs="Calibri"/>
                <w:b/>
                <w:bCs/>
                <w:color w:val="222222"/>
              </w:rPr>
              <w:t>:</w:t>
            </w:r>
            <w:r>
              <w:rPr>
                <w:rFonts w:ascii="Calibri" w:hAnsi="Calibri" w:cs="Calibri"/>
                <w:color w:val="222222"/>
              </w:rPr>
              <w:t> </w:t>
            </w:r>
          </w:p>
          <w:p w14:paraId="0A648B81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Sábado 19 de junio: Pares</w:t>
            </w:r>
          </w:p>
          <w:p w14:paraId="4E488564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Domingo 20 de junio: Impares</w:t>
            </w:r>
          </w:p>
          <w:p w14:paraId="4F3229A4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Sábado 26 de junio: Impares</w:t>
            </w:r>
          </w:p>
          <w:p w14:paraId="52744A06" w14:textId="77777777" w:rsidR="00000000" w:rsidRDefault="005A04E6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  </w:t>
            </w:r>
            <w:r>
              <w:rPr>
                <w:rFonts w:ascii="Calibri" w:hAnsi="Calibri" w:cs="Calibri"/>
                <w:color w:val="222222"/>
              </w:rPr>
              <w:t>Domingo 27 de junio: Pares</w:t>
            </w:r>
          </w:p>
          <w:p w14:paraId="5248B307" w14:textId="77777777" w:rsidR="00000000" w:rsidRDefault="005A04E6">
            <w:pPr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Para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más información sobre alertas y medidas para atención de la pandemia puede consultar en el sitio web 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color w:val="8496B0" w:themeColor="text2" w:themeTint="99"/>
                  <w:lang w:eastAsia="es-CR"/>
                </w:rPr>
                <w:t>presidencia.go.cr/alertas</w:t>
              </w:r>
            </w:hyperlink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E22" w14:textId="77777777" w:rsidR="00000000" w:rsidRDefault="005A04E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62F66BB9" w14:textId="77777777" w:rsidR="00000000" w:rsidRDefault="005A04E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4E7A"/>
    <w:multiLevelType w:val="hybridMultilevel"/>
    <w:tmpl w:val="D13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88348">
    <w:abstractNumId w:val="0"/>
  </w:num>
  <w:num w:numId="2" w16cid:durableId="11558032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E6"/>
    <w:rsid w:val="005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24B585C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presidencia.go.cr/alerta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2022-05-13T20:25:00Z</dcterms:created>
  <dcterms:modified xsi:type="dcterms:W3CDTF">2022-05-13T20:25:00Z</dcterms:modified>
</cp:coreProperties>
</file>