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65"/>
        <w:gridCol w:w="3455"/>
        <w:gridCol w:w="3415"/>
        <w:gridCol w:w="532"/>
        <w:gridCol w:w="221"/>
      </w:tblGrid>
      <w:tr w:rsidR="00000000" w14:paraId="16CE3F33" w14:textId="77777777">
        <w:tc>
          <w:tcPr>
            <w:tcW w:w="270" w:type="dxa"/>
            <w:tcBorders>
              <w:top w:val="single" w:sz="4" w:space="0" w:color="auto"/>
              <w:left w:val="single" w:sz="4" w:space="0" w:color="auto"/>
              <w:bottom w:val="single" w:sz="4" w:space="0" w:color="auto"/>
              <w:right w:val="single" w:sz="4" w:space="0" w:color="auto"/>
            </w:tcBorders>
          </w:tcPr>
          <w:p w14:paraId="75D6C50E" w14:textId="77777777" w:rsidR="00000000" w:rsidRDefault="00E47316">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14:paraId="4B529768" w14:textId="77777777" w:rsidR="00000000" w:rsidRDefault="00E47316">
            <w:pPr>
              <w:rPr>
                <w:lang w:val="es-ES"/>
              </w:rPr>
            </w:pPr>
          </w:p>
          <w:p w14:paraId="3A874B38" w14:textId="77777777" w:rsidR="00000000" w:rsidRDefault="00E47316">
            <w:pPr>
              <w:pStyle w:val="Prrafodelista"/>
              <w:spacing w:line="240" w:lineRule="auto"/>
              <w:ind w:left="425" w:right="312"/>
              <w:jc w:val="center"/>
              <w:rPr>
                <w:rFonts w:asciiTheme="majorHAnsi" w:eastAsiaTheme="majorEastAsia" w:hAnsiTheme="majorHAnsi" w:cstheme="majorBidi"/>
                <w:color w:val="2E74B5" w:themeColor="accent1" w:themeShade="BF"/>
                <w:sz w:val="36"/>
                <w:szCs w:val="36"/>
                <w:lang w:val="es-ES"/>
              </w:rPr>
            </w:pPr>
            <w:r>
              <w:rPr>
                <w:rFonts w:asciiTheme="majorHAnsi" w:eastAsiaTheme="majorEastAsia" w:hAnsiTheme="majorHAnsi" w:cstheme="majorBidi"/>
                <w:color w:val="2E74B5" w:themeColor="accent1" w:themeShade="BF"/>
                <w:sz w:val="36"/>
                <w:szCs w:val="36"/>
                <w:lang w:val="es-ES"/>
              </w:rPr>
              <w:t>75 cantones bajan nivel de alerta por COVID-19 de naranja a amarilla</w:t>
            </w:r>
          </w:p>
          <w:p w14:paraId="735D8665" w14:textId="77777777" w:rsidR="00000000" w:rsidRDefault="00E47316">
            <w:pPr>
              <w:spacing w:line="240" w:lineRule="auto"/>
              <w:jc w:val="center"/>
              <w:rPr>
                <w:rFonts w:asciiTheme="majorHAnsi" w:eastAsiaTheme="majorEastAsia" w:hAnsiTheme="majorHAnsi" w:cstheme="majorBidi"/>
                <w:color w:val="2E74B5" w:themeColor="accent1" w:themeShade="BF"/>
                <w:sz w:val="36"/>
                <w:szCs w:val="36"/>
                <w:lang w:val="es-ES"/>
              </w:rPr>
            </w:pPr>
          </w:p>
          <w:p w14:paraId="65F9D5D6" w14:textId="77777777" w:rsidR="00000000" w:rsidRDefault="00E47316">
            <w:pPr>
              <w:tabs>
                <w:tab w:val="left" w:pos="2880"/>
              </w:tabs>
              <w:spacing w:after="0" w:line="240" w:lineRule="auto"/>
              <w:jc w:val="both"/>
              <w:rPr>
                <w:rFonts w:ascii="Arial" w:hAnsi="Arial" w:cs="Arial"/>
                <w:bCs/>
                <w:i/>
                <w:iCs/>
                <w:sz w:val="20"/>
                <w:szCs w:val="20"/>
                <w:lang w:val="es-ES"/>
              </w:rPr>
            </w:pPr>
          </w:p>
          <w:p w14:paraId="3C8D6A67" w14:textId="77777777" w:rsidR="00000000" w:rsidRDefault="00E47316">
            <w:pPr>
              <w:pStyle w:val="Prrafodelista"/>
              <w:numPr>
                <w:ilvl w:val="0"/>
                <w:numId w:val="5"/>
              </w:numPr>
              <w:spacing w:after="0" w:line="276" w:lineRule="auto"/>
              <w:ind w:right="312"/>
              <w:jc w:val="both"/>
              <w:rPr>
                <w:rFonts w:ascii="Arial" w:hAnsi="Arial" w:cs="Arial"/>
                <w:i/>
              </w:rPr>
            </w:pPr>
            <w:r>
              <w:rPr>
                <w:rFonts w:ascii="Arial" w:hAnsi="Arial" w:cs="Arial"/>
                <w:i/>
              </w:rPr>
              <w:t>Reporte de casos semanales pasó de 39.610 (pico de la ola) a 5.153 la semana anterior, una reducción del 87%</w:t>
            </w:r>
          </w:p>
          <w:p w14:paraId="1837CE55" w14:textId="77777777" w:rsidR="00000000" w:rsidRDefault="00E47316">
            <w:pPr>
              <w:pStyle w:val="Prrafodelista"/>
              <w:numPr>
                <w:ilvl w:val="0"/>
                <w:numId w:val="5"/>
              </w:numPr>
              <w:spacing w:after="0" w:line="276" w:lineRule="auto"/>
              <w:ind w:right="312"/>
              <w:jc w:val="both"/>
              <w:rPr>
                <w:rFonts w:ascii="Arial" w:hAnsi="Arial" w:cs="Arial"/>
                <w:i/>
              </w:rPr>
            </w:pPr>
            <w:r>
              <w:rPr>
                <w:rFonts w:ascii="Arial" w:hAnsi="Arial" w:cs="Arial"/>
                <w:i/>
              </w:rPr>
              <w:t>Ocupación hospitalaria se ha reducido un 45,6% desde su punto más alto de este año.</w:t>
            </w:r>
          </w:p>
          <w:p w14:paraId="2FF34F59" w14:textId="77777777" w:rsidR="00000000" w:rsidRDefault="00E47316">
            <w:pPr>
              <w:pStyle w:val="Prrafodelista"/>
              <w:numPr>
                <w:ilvl w:val="0"/>
                <w:numId w:val="5"/>
              </w:numPr>
              <w:spacing w:after="0" w:line="276" w:lineRule="auto"/>
              <w:ind w:right="312"/>
              <w:jc w:val="both"/>
              <w:rPr>
                <w:rFonts w:ascii="Arial" w:hAnsi="Arial" w:cs="Arial"/>
                <w:i/>
              </w:rPr>
            </w:pPr>
            <w:r>
              <w:rPr>
                <w:rFonts w:ascii="Arial" w:hAnsi="Arial" w:cs="Arial"/>
                <w:i/>
              </w:rPr>
              <w:t>Tasa de reproducción del virus se mantiene por debajo de 1 desde hace 48 días, es decir, cada vez se presentan menos contagios.</w:t>
            </w:r>
          </w:p>
          <w:p w14:paraId="2437D337" w14:textId="77777777" w:rsidR="00000000" w:rsidRDefault="00E47316">
            <w:pPr>
              <w:pStyle w:val="Prrafodelista"/>
              <w:numPr>
                <w:ilvl w:val="0"/>
                <w:numId w:val="5"/>
              </w:numPr>
              <w:spacing w:after="0" w:line="276" w:lineRule="auto"/>
              <w:ind w:right="312"/>
              <w:jc w:val="both"/>
              <w:rPr>
                <w:rFonts w:ascii="Arial" w:hAnsi="Arial" w:cs="Arial"/>
                <w:i/>
              </w:rPr>
            </w:pPr>
            <w:r>
              <w:rPr>
                <w:rFonts w:ascii="Arial" w:hAnsi="Arial" w:cs="Arial"/>
                <w:i/>
              </w:rPr>
              <w:t>Dota, Alvarado, Pérez Zeledón, Buenos Aires,</w:t>
            </w:r>
            <w:r>
              <w:rPr>
                <w:rFonts w:ascii="Arial" w:hAnsi="Arial" w:cs="Arial"/>
                <w:i/>
              </w:rPr>
              <w:t xml:space="preserve"> Osa, Golfito y Corredores son los cantones que se mantienen en alerta naranja.</w:t>
            </w:r>
          </w:p>
          <w:p w14:paraId="0CAE9C35" w14:textId="77777777" w:rsidR="00000000" w:rsidRDefault="00E47316">
            <w:pPr>
              <w:pStyle w:val="Prrafodelista"/>
              <w:numPr>
                <w:ilvl w:val="0"/>
                <w:numId w:val="5"/>
              </w:numPr>
              <w:spacing w:after="0" w:line="276" w:lineRule="auto"/>
              <w:ind w:right="312"/>
              <w:jc w:val="both"/>
              <w:rPr>
                <w:rFonts w:ascii="Arial" w:hAnsi="Arial" w:cs="Arial"/>
                <w:i/>
              </w:rPr>
            </w:pPr>
            <w:r>
              <w:rPr>
                <w:rFonts w:ascii="Arial" w:hAnsi="Arial" w:cs="Arial"/>
                <w:i/>
              </w:rPr>
              <w:t>País completo estaba en alerta naranja desde el 13 de enero.</w:t>
            </w:r>
          </w:p>
          <w:p w14:paraId="21AB4BB6" w14:textId="77777777" w:rsidR="00000000" w:rsidRDefault="00E47316">
            <w:pPr>
              <w:tabs>
                <w:tab w:val="left" w:pos="2880"/>
              </w:tabs>
              <w:spacing w:after="0" w:line="240" w:lineRule="auto"/>
              <w:jc w:val="both"/>
              <w:rPr>
                <w:rFonts w:ascii="Arial" w:hAnsi="Arial" w:cs="Arial"/>
                <w:bCs/>
                <w:i/>
                <w:iCs/>
                <w:sz w:val="20"/>
                <w:szCs w:val="20"/>
                <w:lang w:val="es-ES"/>
              </w:rPr>
            </w:pPr>
          </w:p>
          <w:p w14:paraId="43845045" w14:textId="77777777" w:rsidR="00000000" w:rsidRDefault="00E47316">
            <w:pPr>
              <w:pStyle w:val="Prrafodelista"/>
              <w:spacing w:after="0" w:line="240" w:lineRule="auto"/>
              <w:rPr>
                <w:rFonts w:ascii="Arial" w:hAnsi="Arial" w:cs="Arial"/>
                <w:bCs/>
                <w:i/>
                <w:iCs/>
                <w:sz w:val="20"/>
                <w:szCs w:val="20"/>
                <w:lang w:val="es-ES"/>
              </w:rPr>
            </w:pPr>
          </w:p>
          <w:p w14:paraId="46084806" w14:textId="77777777" w:rsidR="00000000" w:rsidRDefault="00E47316">
            <w:pPr>
              <w:ind w:right="310"/>
              <w:contextualSpacing/>
              <w:jc w:val="both"/>
              <w:rPr>
                <w:rFonts w:ascii="Arial" w:eastAsia="Arial" w:hAnsi="Arial" w:cs="Arial"/>
                <w:sz w:val="24"/>
                <w:szCs w:val="44"/>
                <w:lang w:val="es-ES" w:eastAsia="es-ES"/>
              </w:rPr>
            </w:pPr>
            <w:r>
              <w:rPr>
                <w:rFonts w:ascii="Arial" w:hAnsi="Arial" w:cs="Arial"/>
                <w:b/>
                <w:bCs/>
                <w:szCs w:val="24"/>
              </w:rPr>
              <w:t>San José, 29 de marzo de 2022.</w:t>
            </w:r>
            <w:r>
              <w:rPr>
                <w:rFonts w:ascii="Arial" w:hAnsi="Arial" w:cs="Arial"/>
                <w:szCs w:val="24"/>
              </w:rPr>
              <w:t xml:space="preserve"> </w:t>
            </w:r>
            <w:r>
              <w:rPr>
                <w:rFonts w:ascii="Arial" w:eastAsia="Arial" w:hAnsi="Arial" w:cs="Arial"/>
                <w:sz w:val="24"/>
                <w:szCs w:val="44"/>
                <w:lang w:val="es-ES" w:eastAsia="es-ES"/>
              </w:rPr>
              <w:t>Gracias a la fuerte reducción de casos, de hospitalizaciones en salón y en UCI, de</w:t>
            </w:r>
            <w:r>
              <w:rPr>
                <w:rFonts w:ascii="Arial" w:eastAsia="Arial" w:hAnsi="Arial" w:cs="Arial"/>
                <w:sz w:val="24"/>
                <w:szCs w:val="44"/>
                <w:lang w:val="es-ES" w:eastAsia="es-ES"/>
              </w:rPr>
              <w:t xml:space="preserve"> defunciones, y el alto alcance de la campaña de vacunación, el Centro de Operaciones de Emergencias tomó la decisión de bajar el nivel de riesgo de contagio de COVID-19 de naranja a amarilla para 75 cantones.</w:t>
            </w:r>
          </w:p>
          <w:p w14:paraId="46BFE9AB" w14:textId="77777777" w:rsidR="00000000" w:rsidRDefault="00E47316">
            <w:pPr>
              <w:spacing w:after="0"/>
              <w:ind w:right="310"/>
              <w:contextualSpacing/>
              <w:jc w:val="both"/>
              <w:rPr>
                <w:rFonts w:ascii="Arial" w:eastAsia="Arial" w:hAnsi="Arial" w:cs="Arial"/>
                <w:sz w:val="24"/>
                <w:szCs w:val="44"/>
                <w:lang w:val="es-ES" w:eastAsia="es-ES"/>
              </w:rPr>
            </w:pPr>
          </w:p>
          <w:p w14:paraId="4B7416A5" w14:textId="77777777" w:rsidR="00000000" w:rsidRDefault="00E47316">
            <w:pPr>
              <w:spacing w:after="0"/>
              <w:ind w:right="310"/>
              <w:contextualSpacing/>
              <w:jc w:val="both"/>
              <w:rPr>
                <w:rFonts w:ascii="Arial" w:eastAsia="Arial" w:hAnsi="Arial" w:cs="Arial"/>
                <w:sz w:val="24"/>
                <w:szCs w:val="44"/>
                <w:lang w:val="es-ES" w:eastAsia="es-ES"/>
              </w:rPr>
            </w:pPr>
            <w:r>
              <w:rPr>
                <w:rFonts w:ascii="Arial" w:eastAsia="Arial" w:hAnsi="Arial" w:cs="Arial"/>
                <w:sz w:val="24"/>
                <w:szCs w:val="44"/>
                <w:lang w:val="es-ES" w:eastAsia="es-ES"/>
              </w:rPr>
              <w:t xml:space="preserve">“El trabajo en conjunto que hemos hecho como país en la prevención del contagio con los protocolos y la vacunación, nos permite ver una clara mejoría en la situación epidemiológica nacional. Los indicadores actuales sugieren que el riesgo bajó, pero sigue </w:t>
            </w:r>
            <w:r>
              <w:rPr>
                <w:rFonts w:ascii="Arial" w:eastAsia="Arial" w:hAnsi="Arial" w:cs="Arial"/>
                <w:sz w:val="24"/>
                <w:szCs w:val="44"/>
                <w:lang w:val="es-ES" w:eastAsia="es-ES"/>
              </w:rPr>
              <w:t>presente, por lo que es importante seguir cuidándonos”, comentó Alexander Solís, presidente de la Comisión Nacional de Prevención de Riesgos y Atención de Emergencia (CNE).</w:t>
            </w:r>
          </w:p>
          <w:p w14:paraId="3F958365" w14:textId="77777777" w:rsidR="00000000" w:rsidRDefault="00E47316">
            <w:pPr>
              <w:spacing w:after="0"/>
              <w:ind w:right="310"/>
              <w:contextualSpacing/>
              <w:jc w:val="both"/>
              <w:rPr>
                <w:rFonts w:ascii="Arial" w:eastAsia="Arial" w:hAnsi="Arial" w:cs="Arial"/>
                <w:sz w:val="24"/>
                <w:szCs w:val="44"/>
                <w:lang w:val="es-ES" w:eastAsia="es-ES"/>
              </w:rPr>
            </w:pPr>
          </w:p>
          <w:p w14:paraId="65DE9028" w14:textId="77777777" w:rsidR="00000000" w:rsidRDefault="00E47316">
            <w:pPr>
              <w:spacing w:after="0"/>
              <w:ind w:right="310"/>
              <w:contextualSpacing/>
              <w:jc w:val="both"/>
              <w:rPr>
                <w:rFonts w:ascii="Arial" w:eastAsia="Arial" w:hAnsi="Arial" w:cs="Arial"/>
                <w:sz w:val="24"/>
                <w:szCs w:val="44"/>
                <w:lang w:val="es-ES" w:eastAsia="es-ES"/>
              </w:rPr>
            </w:pPr>
            <w:r>
              <w:rPr>
                <w:rFonts w:ascii="Arial" w:eastAsia="Arial" w:hAnsi="Arial" w:cs="Arial"/>
                <w:sz w:val="24"/>
                <w:szCs w:val="44"/>
                <w:lang w:val="es-ES" w:eastAsia="es-ES"/>
              </w:rPr>
              <w:t>En la semana epidemiológica #4 (última de enero) se registraron 39.610 casos, el v</w:t>
            </w:r>
            <w:r>
              <w:rPr>
                <w:rFonts w:ascii="Arial" w:eastAsia="Arial" w:hAnsi="Arial" w:cs="Arial"/>
                <w:sz w:val="24"/>
                <w:szCs w:val="44"/>
                <w:lang w:val="es-ES" w:eastAsia="es-ES"/>
              </w:rPr>
              <w:t>alor más alto de toda la pandemia; para la semana #12 este dato se redujo a 5.153, un 87% menos (34.457 casos)  en 8 semanas.</w:t>
            </w:r>
          </w:p>
          <w:p w14:paraId="264D3FE6" w14:textId="77777777" w:rsidR="00000000" w:rsidRDefault="00E47316">
            <w:pPr>
              <w:jc w:val="both"/>
              <w:rPr>
                <w:rFonts w:ascii="Arial" w:eastAsia="Arial" w:hAnsi="Arial" w:cs="Arial"/>
                <w:sz w:val="24"/>
                <w:szCs w:val="44"/>
                <w:lang w:val="es-ES" w:eastAsia="es-ES"/>
              </w:rPr>
            </w:pPr>
            <w:r>
              <w:rPr>
                <w:rFonts w:ascii="Arial" w:eastAsia="Arial" w:hAnsi="Arial" w:cs="Arial"/>
                <w:noProof/>
                <w:sz w:val="24"/>
                <w:szCs w:val="44"/>
                <w:lang w:val="es-ES" w:eastAsia="es-ES"/>
              </w:rPr>
              <w:drawing>
                <wp:inline distT="0" distB="0" distL="0" distR="0" wp14:anchorId="22162E59" wp14:editId="47FCC5CD">
                  <wp:extent cx="6130290" cy="26162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0290" cy="2616200"/>
                          </a:xfrm>
                          <a:prstGeom prst="rect">
                            <a:avLst/>
                          </a:prstGeom>
                          <a:noFill/>
                          <a:ln>
                            <a:noFill/>
                          </a:ln>
                        </pic:spPr>
                      </pic:pic>
                    </a:graphicData>
                  </a:graphic>
                </wp:inline>
              </w:drawing>
            </w:r>
          </w:p>
          <w:p w14:paraId="7C992D92" w14:textId="77777777" w:rsidR="00000000" w:rsidRDefault="00E47316">
            <w:pPr>
              <w:spacing w:after="0"/>
              <w:ind w:right="310"/>
              <w:contextualSpacing/>
              <w:jc w:val="both"/>
              <w:rPr>
                <w:rFonts w:ascii="Arial" w:eastAsia="Arial" w:hAnsi="Arial" w:cs="Arial"/>
                <w:sz w:val="24"/>
                <w:szCs w:val="44"/>
                <w:lang w:val="es-ES" w:eastAsia="es-ES"/>
              </w:rPr>
            </w:pPr>
            <w:r>
              <w:rPr>
                <w:rFonts w:ascii="Arial" w:eastAsia="Arial" w:hAnsi="Arial" w:cs="Arial"/>
                <w:sz w:val="24"/>
                <w:szCs w:val="44"/>
                <w:lang w:val="es-ES" w:eastAsia="es-ES"/>
              </w:rPr>
              <w:lastRenderedPageBreak/>
              <w:t>La tendencia a la baja también se ve en hospitalizaciones. En el caso de los internamientos en unidades de cuidados intensivos l</w:t>
            </w:r>
            <w:r>
              <w:rPr>
                <w:rFonts w:ascii="Arial" w:eastAsia="Arial" w:hAnsi="Arial" w:cs="Arial"/>
                <w:sz w:val="24"/>
                <w:szCs w:val="44"/>
                <w:lang w:val="es-ES" w:eastAsia="es-ES"/>
              </w:rPr>
              <w:t>a ocupación más alta de este año llegó a 152 pacientes el 14 de febrero, mientras que los casos en salón llegaron a 884 pacientes el 21 de febrero; ayer se registraron 72 personas en UCI y 486 personas en salón, disminuciones de 53% y 45%, respectivamente.</w:t>
            </w:r>
          </w:p>
          <w:p w14:paraId="1B764422" w14:textId="77777777" w:rsidR="00000000" w:rsidRDefault="00E47316">
            <w:pPr>
              <w:jc w:val="both"/>
              <w:rPr>
                <w:rFonts w:ascii="Arial" w:eastAsia="Arial" w:hAnsi="Arial" w:cs="Arial"/>
                <w:sz w:val="24"/>
                <w:szCs w:val="44"/>
                <w:lang w:val="es-ES" w:eastAsia="es-ES"/>
              </w:rPr>
            </w:pPr>
            <w:r>
              <w:rPr>
                <w:rFonts w:ascii="Arial" w:eastAsia="Arial" w:hAnsi="Arial" w:cs="Arial"/>
                <w:noProof/>
                <w:sz w:val="24"/>
                <w:szCs w:val="44"/>
                <w:lang w:val="es-ES" w:eastAsia="es-ES"/>
              </w:rPr>
              <w:drawing>
                <wp:inline distT="0" distB="0" distL="0" distR="0" wp14:anchorId="473D2F86" wp14:editId="115510A8">
                  <wp:extent cx="5446395" cy="261620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6395" cy="2616200"/>
                          </a:xfrm>
                          <a:prstGeom prst="rect">
                            <a:avLst/>
                          </a:prstGeom>
                          <a:noFill/>
                          <a:ln>
                            <a:noFill/>
                          </a:ln>
                        </pic:spPr>
                      </pic:pic>
                    </a:graphicData>
                  </a:graphic>
                </wp:inline>
              </w:drawing>
            </w:r>
          </w:p>
          <w:p w14:paraId="23209D34" w14:textId="77777777" w:rsidR="00000000" w:rsidRDefault="00E47316">
            <w:pPr>
              <w:ind w:right="310"/>
              <w:jc w:val="both"/>
              <w:rPr>
                <w:rFonts w:ascii="Arial" w:eastAsia="Arial" w:hAnsi="Arial" w:cs="Arial"/>
                <w:b/>
                <w:bCs/>
                <w:sz w:val="24"/>
                <w:szCs w:val="44"/>
                <w:lang w:val="es-ES" w:eastAsia="es-ES"/>
              </w:rPr>
            </w:pPr>
            <w:r>
              <w:rPr>
                <w:rFonts w:ascii="Arial" w:eastAsia="Arial" w:hAnsi="Arial" w:cs="Arial"/>
                <w:b/>
                <w:bCs/>
                <w:sz w:val="24"/>
                <w:szCs w:val="44"/>
                <w:lang w:val="es-ES" w:eastAsia="es-ES"/>
              </w:rPr>
              <w:t>Siete cantones en naranja</w:t>
            </w:r>
          </w:p>
          <w:p w14:paraId="353B86FE" w14:textId="77777777" w:rsidR="00000000" w:rsidRDefault="00E47316">
            <w:pPr>
              <w:ind w:right="310"/>
              <w:jc w:val="both"/>
              <w:rPr>
                <w:rFonts w:ascii="Arial" w:eastAsia="Arial" w:hAnsi="Arial" w:cs="Arial"/>
                <w:sz w:val="24"/>
                <w:szCs w:val="44"/>
                <w:lang w:val="es-ES" w:eastAsia="es-ES"/>
              </w:rPr>
            </w:pPr>
          </w:p>
          <w:p w14:paraId="47B69377" w14:textId="77777777" w:rsidR="00000000" w:rsidRDefault="00E47316">
            <w:pPr>
              <w:ind w:right="310"/>
              <w:jc w:val="both"/>
              <w:rPr>
                <w:rFonts w:ascii="Arial" w:eastAsia="Arial" w:hAnsi="Arial" w:cs="Arial"/>
                <w:sz w:val="24"/>
                <w:szCs w:val="44"/>
                <w:lang w:val="es-ES" w:eastAsia="es-ES"/>
              </w:rPr>
            </w:pPr>
            <w:r>
              <w:rPr>
                <w:rFonts w:ascii="Arial" w:eastAsia="Arial" w:hAnsi="Arial" w:cs="Arial"/>
                <w:sz w:val="24"/>
                <w:szCs w:val="44"/>
                <w:lang w:val="es-ES" w:eastAsia="es-ES"/>
              </w:rPr>
              <w:t>De acuerdo con los datos de la Sala de Análisis de Situación Nacional, siete cantones mantienen un nivel alto de riesgo de contagio de COVID-19: Dota, Alvarado, Pérez Zeledón, Buenos Aires, Osa, Golfito y Corredores. Geográfic</w:t>
            </w:r>
            <w:r>
              <w:rPr>
                <w:rFonts w:ascii="Arial" w:eastAsia="Arial" w:hAnsi="Arial" w:cs="Arial"/>
                <w:sz w:val="24"/>
                <w:szCs w:val="44"/>
                <w:lang w:val="es-ES" w:eastAsia="es-ES"/>
              </w:rPr>
              <w:t>amente, con la excepción de Alvarado, el resto son cantones vecinos desde Dota hasta Corredores. Si bien son cantones que también han visto disminuido su número de contagio, la tasa hospitalaria se mantiene alta.</w:t>
            </w:r>
          </w:p>
          <w:p w14:paraId="42442A3A" w14:textId="77777777" w:rsidR="00000000" w:rsidRDefault="00E47316">
            <w:pPr>
              <w:ind w:right="310"/>
              <w:jc w:val="both"/>
              <w:rPr>
                <w:rFonts w:ascii="Arial" w:eastAsia="Arial" w:hAnsi="Arial" w:cs="Arial"/>
                <w:sz w:val="24"/>
                <w:szCs w:val="44"/>
                <w:lang w:val="es-ES" w:eastAsia="es-ES"/>
              </w:rPr>
            </w:pPr>
          </w:p>
          <w:p w14:paraId="4C14BF6C" w14:textId="77777777" w:rsidR="00000000" w:rsidRDefault="00E47316">
            <w:pPr>
              <w:ind w:right="310"/>
              <w:jc w:val="both"/>
              <w:rPr>
                <w:rFonts w:ascii="Arial" w:eastAsia="Arial" w:hAnsi="Arial" w:cs="Arial"/>
                <w:sz w:val="24"/>
                <w:szCs w:val="44"/>
                <w:lang w:val="es-ES" w:eastAsia="es-ES"/>
              </w:rPr>
            </w:pPr>
            <w:r>
              <w:rPr>
                <w:rFonts w:ascii="Arial" w:eastAsia="Arial" w:hAnsi="Arial" w:cs="Arial"/>
                <w:sz w:val="24"/>
                <w:szCs w:val="44"/>
                <w:lang w:val="es-ES" w:eastAsia="es-ES"/>
              </w:rPr>
              <w:t>Es importante hacer ver que cinco de estos</w:t>
            </w:r>
            <w:r>
              <w:rPr>
                <w:rFonts w:ascii="Arial" w:eastAsia="Arial" w:hAnsi="Arial" w:cs="Arial"/>
                <w:sz w:val="24"/>
                <w:szCs w:val="44"/>
                <w:lang w:val="es-ES" w:eastAsia="es-ES"/>
              </w:rPr>
              <w:t xml:space="preserve"> cantones pertenecen a la región Brunca, zona en donde se presenta la tasa más baja de vacunación, con 81,9 dosis aplicadas por cada 100 habitantes. </w:t>
            </w:r>
          </w:p>
          <w:p w14:paraId="53006F98" w14:textId="77777777" w:rsidR="00000000" w:rsidRDefault="00E47316">
            <w:pPr>
              <w:ind w:right="310"/>
              <w:jc w:val="both"/>
              <w:rPr>
                <w:rFonts w:ascii="Arial" w:eastAsia="Arial" w:hAnsi="Arial" w:cs="Arial"/>
                <w:sz w:val="24"/>
                <w:szCs w:val="44"/>
                <w:lang w:val="es-ES" w:eastAsia="es-ES"/>
              </w:rPr>
            </w:pPr>
          </w:p>
          <w:p w14:paraId="52C6007F" w14:textId="77777777" w:rsidR="00000000" w:rsidRDefault="00E47316">
            <w:pPr>
              <w:ind w:right="310"/>
              <w:jc w:val="both"/>
              <w:rPr>
                <w:rFonts w:ascii="Arial" w:eastAsia="Arial" w:hAnsi="Arial" w:cs="Arial"/>
                <w:sz w:val="24"/>
                <w:szCs w:val="44"/>
                <w:lang w:val="es-ES" w:eastAsia="es-ES"/>
              </w:rPr>
            </w:pPr>
            <w:r>
              <w:rPr>
                <w:rFonts w:ascii="Arial" w:eastAsia="Arial" w:hAnsi="Arial" w:cs="Arial"/>
                <w:sz w:val="24"/>
                <w:szCs w:val="44"/>
                <w:lang w:val="es-ES" w:eastAsia="es-ES"/>
              </w:rPr>
              <w:t>Las autoridades reiteraron el llamado a seguir asistiendo a las campañas de vacunación en todo el país, a</w:t>
            </w:r>
            <w:r>
              <w:rPr>
                <w:rFonts w:ascii="Arial" w:eastAsia="Arial" w:hAnsi="Arial" w:cs="Arial"/>
                <w:sz w:val="24"/>
                <w:szCs w:val="44"/>
                <w:lang w:val="es-ES" w:eastAsia="es-ES"/>
              </w:rPr>
              <w:t xml:space="preserve"> iniciar su esquema quienes no lo han hecho y completar con segunda dosis o reforzar con la tercera dosis a aquellas personas que lo tienen pendiente. Para tales efectos el país dispone de la suficiente cantidad de dosis tanto pediátricas como para el rest</w:t>
            </w:r>
            <w:r>
              <w:rPr>
                <w:rFonts w:ascii="Arial" w:eastAsia="Arial" w:hAnsi="Arial" w:cs="Arial"/>
                <w:sz w:val="24"/>
                <w:szCs w:val="44"/>
                <w:lang w:val="es-ES" w:eastAsia="es-ES"/>
              </w:rPr>
              <w:t xml:space="preserve">o de la población mayor.  </w:t>
            </w:r>
          </w:p>
          <w:p w14:paraId="110DDFA8" w14:textId="77777777" w:rsidR="00000000" w:rsidRDefault="00E47316">
            <w:pPr>
              <w:rPr>
                <w:rFonts w:ascii="Arial" w:eastAsia="Arial" w:hAnsi="Arial" w:cs="Arial"/>
                <w:sz w:val="24"/>
                <w:szCs w:val="44"/>
                <w:lang w:val="es-ES" w:eastAsia="es-ES"/>
              </w:rPr>
            </w:pPr>
          </w:p>
          <w:p w14:paraId="5C49E980" w14:textId="77777777" w:rsidR="00000000" w:rsidRDefault="00E47316">
            <w:pPr>
              <w:jc w:val="both"/>
              <w:rPr>
                <w:rFonts w:ascii="Arial" w:hAnsi="Arial" w:cs="Arial"/>
                <w:sz w:val="24"/>
                <w:lang w:val="es-ES"/>
              </w:rPr>
            </w:pPr>
          </w:p>
        </w:tc>
        <w:tc>
          <w:tcPr>
            <w:tcW w:w="269" w:type="dxa"/>
            <w:tcBorders>
              <w:top w:val="single" w:sz="4" w:space="0" w:color="auto"/>
              <w:left w:val="single" w:sz="4" w:space="0" w:color="auto"/>
              <w:bottom w:val="single" w:sz="4" w:space="0" w:color="auto"/>
              <w:right w:val="single" w:sz="4" w:space="0" w:color="auto"/>
            </w:tcBorders>
          </w:tcPr>
          <w:p w14:paraId="1A8FB98E" w14:textId="77777777" w:rsidR="00000000" w:rsidRDefault="00E47316">
            <w:pPr>
              <w:spacing w:after="0" w:line="240" w:lineRule="auto"/>
              <w:jc w:val="center"/>
              <w:rPr>
                <w:bCs/>
                <w:color w:val="000000"/>
                <w:sz w:val="40"/>
                <w:szCs w:val="40"/>
                <w:lang w:eastAsia="es-CR"/>
              </w:rPr>
            </w:pPr>
          </w:p>
        </w:tc>
      </w:tr>
      <w:tr w:rsidR="00000000" w14:paraId="1D72CD42" w14:textId="77777777">
        <w:tc>
          <w:tcPr>
            <w:tcW w:w="270" w:type="dxa"/>
            <w:tcBorders>
              <w:top w:val="single" w:sz="4" w:space="0" w:color="auto"/>
              <w:left w:val="single" w:sz="4" w:space="0" w:color="auto"/>
              <w:bottom w:val="single" w:sz="4" w:space="0" w:color="auto"/>
              <w:right w:val="single" w:sz="4" w:space="0" w:color="auto"/>
            </w:tcBorders>
          </w:tcPr>
          <w:p w14:paraId="015B4D5D" w14:textId="77777777" w:rsidR="00000000" w:rsidRDefault="00E47316">
            <w:pPr>
              <w:spacing w:after="0" w:line="240" w:lineRule="auto"/>
              <w:jc w:val="center"/>
              <w:rPr>
                <w:bCs/>
                <w:color w:val="000000"/>
                <w:sz w:val="40"/>
                <w:szCs w:val="40"/>
                <w:lang w:eastAsia="es-CR"/>
              </w:rPr>
            </w:pPr>
            <w:bookmarkStart w:id="0" w:name="_heading=h.n79dcag5ambo"/>
            <w:bookmarkEnd w:id="0"/>
          </w:p>
        </w:tc>
        <w:tc>
          <w:tcPr>
            <w:tcW w:w="824" w:type="dxa"/>
            <w:tcBorders>
              <w:top w:val="single" w:sz="4" w:space="0" w:color="auto"/>
              <w:left w:val="single" w:sz="4" w:space="0" w:color="auto"/>
              <w:bottom w:val="single" w:sz="4" w:space="0" w:color="auto"/>
              <w:right w:val="single" w:sz="4" w:space="0" w:color="auto"/>
            </w:tcBorders>
          </w:tcPr>
          <w:p w14:paraId="26B3A75A" w14:textId="77777777" w:rsidR="00000000" w:rsidRDefault="00E47316">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14:paraId="5527F4DF" w14:textId="77777777" w:rsidR="00000000" w:rsidRDefault="00E47316">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14:paraId="78E9F7CC" w14:textId="77777777" w:rsidR="00000000" w:rsidRDefault="00E47316">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14:paraId="42D43B1B" w14:textId="77777777" w:rsidR="00000000" w:rsidRDefault="00E47316">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14:paraId="62EC4729" w14:textId="77777777" w:rsidR="00000000" w:rsidRDefault="00E47316">
            <w:pPr>
              <w:spacing w:after="0" w:line="240" w:lineRule="auto"/>
              <w:jc w:val="center"/>
              <w:rPr>
                <w:bCs/>
                <w:color w:val="000000"/>
                <w:sz w:val="40"/>
                <w:szCs w:val="40"/>
                <w:lang w:eastAsia="es-CR"/>
              </w:rPr>
            </w:pPr>
          </w:p>
        </w:tc>
      </w:tr>
    </w:tbl>
    <w:p w14:paraId="58391CE4" w14:textId="77777777" w:rsidR="00000000" w:rsidRDefault="00E47316">
      <w:pPr>
        <w:jc w:val="right"/>
        <w:rPr>
          <w:rFonts w:cstheme="minorHAnsi"/>
          <w:bCs/>
          <w:sz w:val="20"/>
          <w:szCs w:val="20"/>
        </w:rPr>
      </w:pPr>
    </w:p>
    <w:sectPr w:rsidR="00000000">
      <w:headerReference w:type="default" r:id="rId10"/>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93FA" w14:textId="77777777" w:rsidR="00000000" w:rsidRDefault="00E47316">
      <w:pPr>
        <w:spacing w:after="0" w:line="240" w:lineRule="auto"/>
      </w:pPr>
      <w:r>
        <w:separator/>
      </w:r>
    </w:p>
  </w:endnote>
  <w:endnote w:type="continuationSeparator" w:id="0">
    <w:p w14:paraId="51D86B30" w14:textId="77777777" w:rsidR="00000000" w:rsidRDefault="00E4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C2DE" w14:textId="77777777" w:rsidR="00000000" w:rsidRDefault="00E47316">
      <w:pPr>
        <w:spacing w:after="0" w:line="240" w:lineRule="auto"/>
      </w:pPr>
      <w:r>
        <w:separator/>
      </w:r>
    </w:p>
  </w:footnote>
  <w:footnote w:type="continuationSeparator" w:id="0">
    <w:p w14:paraId="2CDC7428" w14:textId="77777777" w:rsidR="00000000" w:rsidRDefault="00E47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E876" w14:textId="77777777" w:rsidR="00000000" w:rsidRDefault="00E47316">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82B74"/>
    <w:multiLevelType w:val="multilevel"/>
    <w:tmpl w:val="8DC68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5426367">
    <w:abstractNumId w:val="0"/>
  </w:num>
  <w:num w:numId="2" w16cid:durableId="1001851350">
    <w:abstractNumId w:val="0"/>
  </w:num>
  <w:num w:numId="3" w16cid:durableId="105004600">
    <w:abstractNumId w:val="0"/>
    <w:lvlOverride w:ilvl="0"/>
  </w:num>
  <w:num w:numId="4" w16cid:durableId="1455098356">
    <w:abstractNumId w:val="1"/>
  </w:num>
  <w:num w:numId="5" w16cid:durableId="194480099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16"/>
    <w:rsid w:val="00E4731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975EE4A"/>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Pr>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2532</Characters>
  <Application>Microsoft Office Word</Application>
  <DocSecurity>0</DocSecurity>
  <Lines>21</Lines>
  <Paragraphs>5</Paragraphs>
  <ScaleCrop>false</ScaleCrop>
  <Company>Microsoft</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2022-05-13T20:39:00Z</dcterms:created>
  <dcterms:modified xsi:type="dcterms:W3CDTF">2022-05-13T20:39:00Z</dcterms:modified>
</cp:coreProperties>
</file>