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 w14:paraId="6F5DAB08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93E" w14:textId="77777777" w:rsidR="00000000" w:rsidRDefault="004B6B3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8F49" w14:textId="77777777" w:rsidR="00000000" w:rsidRDefault="004B6B32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eleva Alerta Naranja en todo el territorio nacional por aumentos de casos de COVID-19</w:t>
            </w:r>
          </w:p>
          <w:p w14:paraId="7C1ED376" w14:textId="77777777" w:rsidR="00000000" w:rsidRDefault="004B6B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7916F" wp14:editId="6A62F935">
                  <wp:extent cx="6122670" cy="4730750"/>
                  <wp:effectExtent l="0" t="0" r="0" b="0"/>
                  <wp:docPr id="1" name="Imagen 1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73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33E18" w14:textId="77777777" w:rsidR="00000000" w:rsidRDefault="004B6B32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 xml:space="preserve">Se prevé que la transmisión de </w:t>
            </w:r>
            <w:r>
              <w:rPr>
                <w:rFonts w:ascii="Arial" w:hAnsi="Arial" w:cs="Arial"/>
                <w:i/>
                <w:iCs/>
              </w:rPr>
              <w:t>Ómicron podría seguir aumentando el número de casos en las siguientes semanas, llegando incluso a los 5 000 casos diarios.</w:t>
            </w:r>
          </w:p>
          <w:p w14:paraId="2291EBAC" w14:textId="77777777" w:rsidR="00000000" w:rsidRDefault="004B6B32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>El cierre de la semana epidemiológica 1-2022 dejó un incremento de nuevos casos pasando de 3 385 a 14 628 casos positivos esto equi</w:t>
            </w:r>
            <w:r>
              <w:rPr>
                <w:rFonts w:ascii="Arial" w:hAnsi="Arial" w:cs="Arial"/>
                <w:i/>
                <w:iCs/>
              </w:rPr>
              <w:t>vale a más del 400%.</w:t>
            </w:r>
          </w:p>
          <w:p w14:paraId="530AEDDD" w14:textId="77777777" w:rsidR="00000000" w:rsidRDefault="004B6B32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>Si bien el porcentaje de hospitalización y decesos es más bajo en comparación a otros periodos de la pandemia, se ha notado una tendencia al aumento en las dos últimas semanas.</w:t>
            </w:r>
          </w:p>
          <w:p w14:paraId="655422F5" w14:textId="77777777" w:rsidR="00000000" w:rsidRDefault="004B6B32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</w:t>
            </w:r>
            <w:r>
              <w:rPr>
                <w:rFonts w:ascii="Arial" w:hAnsi="Arial" w:cs="Arial"/>
                <w:i/>
                <w:iCs/>
              </w:rPr>
              <w:tab/>
              <w:t>Por la alta tasa de ataque observada y el aumento en e</w:t>
            </w:r>
            <w:r>
              <w:rPr>
                <w:rFonts w:ascii="Arial" w:hAnsi="Arial" w:cs="Arial"/>
                <w:i/>
                <w:iCs/>
              </w:rPr>
              <w:t>l indicador de reproducción del virus, podrían estar muchas personas incapacitadas al mismo tiempo, lo cual podrá generar un impacto severo en los servicios esenciales y los medios de producción.</w:t>
            </w:r>
          </w:p>
          <w:p w14:paraId="67CDEB84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San José, 13 de enero del 2022.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El Centro de Operaciones de</w:t>
            </w:r>
            <w:r>
              <w:rPr>
                <w:rFonts w:ascii="Arial" w:hAnsi="Arial" w:cs="Arial"/>
                <w:sz w:val="24"/>
                <w:szCs w:val="24"/>
              </w:rPr>
              <w:t xml:space="preserve"> Emergencias (COE), integrado por las instituciones de primera respuesta y atención de servicios básicos en situaciones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emergencia, determinó la necesidad de elevar el nivel de la alerta, debido a la presencia de la variante Ómicron en el país.  Ante es</w:t>
            </w:r>
            <w:r>
              <w:rPr>
                <w:rFonts w:ascii="Arial" w:hAnsi="Arial" w:cs="Arial"/>
                <w:sz w:val="24"/>
                <w:szCs w:val="24"/>
              </w:rPr>
              <w:t>ta recomendación la Comisión Nacional de Prevención de Riesgos y Atención de Emergencias (CNE) declaró la Alerta Naranja por COVID-19 en todo el territorio nacional.</w:t>
            </w:r>
          </w:p>
          <w:p w14:paraId="61D110FA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cierre de la semana epidemiológica dejó un incremento nunca visto de casos a nivel naci</w:t>
            </w:r>
            <w:r>
              <w:rPr>
                <w:rFonts w:ascii="Arial" w:hAnsi="Arial" w:cs="Arial"/>
                <w:sz w:val="24"/>
                <w:szCs w:val="24"/>
              </w:rPr>
              <w:t xml:space="preserve">onal en lo que va de la pandemia, pasando de 3 385 en la semana 52 (última semana del 2021) a 14 628 casos positivos en la primera semana epidemiológica del 2022. </w:t>
            </w:r>
          </w:p>
          <w:p w14:paraId="2C85217C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los datos analizados por la Sala de Análisis de Situación y el panorama nacional y mun</w:t>
            </w:r>
            <w:r>
              <w:rPr>
                <w:rFonts w:ascii="Arial" w:hAnsi="Arial" w:cs="Arial"/>
                <w:sz w:val="24"/>
                <w:szCs w:val="24"/>
              </w:rPr>
              <w:t>dial, se espera que la transmisión de Ómicron siga subiendo el número de casos en las siguientes semanas, llegando incluso a más de 5 000 casos diarios.</w:t>
            </w:r>
          </w:p>
          <w:p w14:paraId="0A6263A6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aumento en las cifras se ven reflejado en algunos cantones como Escazú, Santa Ana, Tibás, Moravia,</w:t>
            </w:r>
            <w:r>
              <w:rPr>
                <w:rFonts w:ascii="Arial" w:hAnsi="Arial" w:cs="Arial"/>
                <w:sz w:val="24"/>
                <w:szCs w:val="24"/>
              </w:rPr>
              <w:t xml:space="preserve"> Montes de Oca, Dota, Curridabat, Turrialba, Heredia, Belén, San Pablo, Santa Cruz, Quepos, Garabito y Talamanca, que sobrepasaron la cantidad máxima de casos registrados durante toda la pandemia.</w:t>
            </w:r>
          </w:p>
          <w:p w14:paraId="7B95835C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bien el número de casos positivos ha subido en las últim</w:t>
            </w:r>
            <w:r>
              <w:rPr>
                <w:rFonts w:ascii="Arial" w:hAnsi="Arial" w:cs="Arial"/>
                <w:sz w:val="24"/>
                <w:szCs w:val="24"/>
              </w:rPr>
              <w:t>as semanas, el porcentaje de hospitalización y decesos es más bajo en comparación a otros periodos de la pandemia, lo cual se puede atribuir al avance en la vacunación a nivel nacional. No obstante, los servicios de primer nivel de atención de la Caja Cost</w:t>
            </w:r>
            <w:r>
              <w:rPr>
                <w:rFonts w:ascii="Arial" w:hAnsi="Arial" w:cs="Arial"/>
                <w:sz w:val="24"/>
                <w:szCs w:val="24"/>
              </w:rPr>
              <w:t>arricense de Seguro Social, mantienen una alta debido al número importante de personas contagiadas por COVID-19 que requerirán realizarse las respectivas pruebas de detección y que demandan atención de síntomas respiratorios.</w:t>
            </w:r>
          </w:p>
          <w:p w14:paraId="31DD5922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conferencia de prensa, las </w:t>
            </w:r>
            <w:r>
              <w:rPr>
                <w:rFonts w:ascii="Arial" w:hAnsi="Arial" w:cs="Arial"/>
                <w:sz w:val="24"/>
                <w:szCs w:val="24"/>
              </w:rPr>
              <w:t xml:space="preserve">autoridades hicieron un llamado para mantener la aplicación de los protocolos y darle continuidad mediante un estricto monitoreo del uso adecuado de las medidas sanitarias tanto para funcionarios como para visitantes de las instituciones. </w:t>
            </w:r>
          </w:p>
          <w:p w14:paraId="13B138CF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COE solicitó </w:t>
            </w:r>
            <w:r>
              <w:rPr>
                <w:rFonts w:ascii="Arial" w:hAnsi="Arial" w:cs="Arial"/>
                <w:sz w:val="24"/>
                <w:szCs w:val="24"/>
              </w:rPr>
              <w:t>a las instituciones del Sistema Nacional de Gestión del Riesgo (SNGR) como Cruz Roja, Benemérito Cuerpo de Bomberos, Sistema de llamadas 9-1-1, Fuerza Pública, entre otros, realizar un Plan de Contingencia Institucional desde el marco del Modelo de Gestión</w:t>
            </w:r>
            <w:r>
              <w:rPr>
                <w:rFonts w:ascii="Arial" w:hAnsi="Arial" w:cs="Arial"/>
                <w:sz w:val="24"/>
                <w:szCs w:val="24"/>
              </w:rPr>
              <w:t xml:space="preserve"> Compartida Costa Rica Trabaja y se Cuida que contenga acciones orientadas a contrarrestar el impacto de la variable Ómicron.</w:t>
            </w:r>
          </w:p>
          <w:p w14:paraId="10DD0D4E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Plan permitirá asegurar la continuidad de los servicios incluso de presentarse un aumento de casos a nivel interno de la inst</w:t>
            </w:r>
            <w:r>
              <w:rPr>
                <w:rFonts w:ascii="Arial" w:hAnsi="Arial" w:cs="Arial"/>
                <w:sz w:val="24"/>
                <w:szCs w:val="24"/>
              </w:rPr>
              <w:t xml:space="preserve">itución. </w:t>
            </w:r>
          </w:p>
          <w:p w14:paraId="0B543458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señor Sigifredo Pérez Fernández, Director de Gestión del Riesgo indicó que “Instamos a todas las instituciones del Sistema para que tengan los recursos necesarios para desarrollar planes de contingencia que permitan asegurar la continuidad de </w:t>
            </w:r>
            <w:r>
              <w:rPr>
                <w:rFonts w:ascii="Arial" w:hAnsi="Arial" w:cs="Arial"/>
                <w:sz w:val="24"/>
                <w:szCs w:val="24"/>
              </w:rPr>
              <w:t>los servicios de forma segura a la ciudadanía. Esto tiene como fin el poder sostener las operaciones ante la posibilidad de que el personal se vea contagiado y requieran ser aislados.”</w:t>
            </w:r>
          </w:p>
          <w:p w14:paraId="3868C0A0" w14:textId="77777777" w:rsidR="00000000" w:rsidRDefault="004B6B32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Alerta Naranja </w:t>
            </w:r>
          </w:p>
          <w:p w14:paraId="25B29DDB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la declaratoria de la Alerta Naranja, las instituci</w:t>
            </w:r>
            <w:r>
              <w:rPr>
                <w:rFonts w:ascii="Arial" w:hAnsi="Arial" w:cs="Arial"/>
                <w:sz w:val="24"/>
                <w:szCs w:val="24"/>
              </w:rPr>
              <w:t>ones del SNGR desarrollarán planes de contingencia para asegurar la continuidad de los servicios, pero también para estar preparadas ante cualquier emergencia, incluida la atención diaria de accidentes y otras situaciones que ponen en riesgo a la población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, siendo que nuestro país es altamente sísmico, expuesto a la amenaza por volcanes activos y con influencia por eventos hidrometeorológicos, que podrían en cualquier momento generar emergencias mayores.  </w:t>
            </w:r>
          </w:p>
          <w:p w14:paraId="505EAB55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la declaratoria de la Alerta Naranja, se instru</w:t>
            </w:r>
            <w:r>
              <w:rPr>
                <w:rFonts w:ascii="Arial" w:hAnsi="Arial" w:cs="Arial"/>
                <w:sz w:val="24"/>
                <w:szCs w:val="24"/>
              </w:rPr>
              <w:t>ye la elaboración de los planes de contingencia y los cursos de acción para que las instituciones aseguren la continuidad de los servicios esenciales en el escenario actual y proyectado, de modo que nos permita atender cualquier emergencia por factores mul</w:t>
            </w:r>
            <w:r>
              <w:rPr>
                <w:rFonts w:ascii="Arial" w:hAnsi="Arial" w:cs="Arial"/>
                <w:sz w:val="24"/>
                <w:szCs w:val="24"/>
              </w:rPr>
              <w:t>tiamenaza.</w:t>
            </w:r>
          </w:p>
          <w:p w14:paraId="5ADFAE60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anterior permite a las instituciones del Sistema por medio de cursos de acción, determinar los impactos probables esperados, reforzar los lineamientos de teletrabajo, hacer un esquema de articulación y respaldo de los equipos operativos, fort</w:t>
            </w:r>
            <w:r>
              <w:rPr>
                <w:rFonts w:ascii="Arial" w:hAnsi="Arial" w:cs="Arial"/>
                <w:sz w:val="24"/>
                <w:szCs w:val="24"/>
              </w:rPr>
              <w:t>alecer los lineamientos de equipo de protección personal (EPP), así como generar el compromiso institucional de aplicar medidas administrativas para la derivación de tareas no esenciales.</w:t>
            </w:r>
          </w:p>
          <w:p w14:paraId="52317230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Paralelo a esto, los cursos de acción de los Comités Municipales de </w:t>
            </w:r>
            <w:r>
              <w:rPr>
                <w:rFonts w:ascii="Arial" w:hAnsi="Arial" w:cs="Arial"/>
                <w:sz w:val="24"/>
                <w:szCs w:val="24"/>
              </w:rPr>
              <w:t>Emergencias (CME) fortalecen Modelo de Gestión Compartida: Costa Rica trabaja y se Cuida, de cara a la contingencia que supone el impacto de la propagación de la variable Ómicron.</w:t>
            </w:r>
          </w:p>
          <w:p w14:paraId="4DF6890F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los CME realizarán un seguimiento al cumplimiento de las medidas san</w:t>
            </w:r>
            <w:r>
              <w:rPr>
                <w:rFonts w:ascii="Arial" w:hAnsi="Arial" w:cs="Arial"/>
                <w:sz w:val="24"/>
                <w:szCs w:val="24"/>
              </w:rPr>
              <w:t>itarias establecidas a nivel general, así como el fiel cumplimiento de los protocolos y normativas sanitarias en su cantón. Por otra parte, brindarán apoyo a las instituciones que trabajan en la línea de primera respuesta a la emergencia; y realizarán la d</w:t>
            </w:r>
            <w:r>
              <w:rPr>
                <w:rFonts w:ascii="Arial" w:hAnsi="Arial" w:cs="Arial"/>
                <w:sz w:val="24"/>
                <w:szCs w:val="24"/>
              </w:rPr>
              <w:t>efinición de acciones para la atención de un evento multiamenaza.</w:t>
            </w:r>
          </w:p>
          <w:p w14:paraId="05F4D454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CME reforzaran las acciones de estrategia de comunicación a nivel local, asociadas a la evolución del escenario </w:t>
            </w:r>
            <w:r>
              <w:rPr>
                <w:rFonts w:ascii="Arial" w:hAnsi="Arial" w:cs="Arial"/>
                <w:sz w:val="24"/>
                <w:szCs w:val="24"/>
              </w:rPr>
              <w:t>epidemiológico para que las personas dispongan de fuentes oficiales de información sobre las acciones en su cantón.</w:t>
            </w:r>
          </w:p>
          <w:p w14:paraId="1C823FC2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igual manera, darán un aseguramiento a la continuidad de los servicios, así como un seguimiento a las denuncias de actividades clandestin</w:t>
            </w:r>
            <w:r>
              <w:rPr>
                <w:rFonts w:ascii="Arial" w:hAnsi="Arial" w:cs="Arial"/>
                <w:sz w:val="24"/>
                <w:szCs w:val="24"/>
              </w:rPr>
              <w:t xml:space="preserve">as. </w:t>
            </w:r>
          </w:p>
          <w:p w14:paraId="4BD4B384" w14:textId="77777777" w:rsidR="00000000" w:rsidRDefault="004B6B3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“Seguimos trabajando fuerte por el país, pero reiteramos el llamado al autocuidado, ya que esa es la principal herramienta para combatir el contagio por COVID-19 y sus variables”, concluyó Sigifredo Pérez.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814" w14:textId="77777777" w:rsidR="00000000" w:rsidRDefault="004B6B3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55D86D20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4F4" w14:textId="77777777" w:rsidR="00000000" w:rsidRDefault="004B6B3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901" w14:textId="77777777" w:rsidR="00000000" w:rsidRDefault="004B6B3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8A6" w14:textId="77777777" w:rsidR="00000000" w:rsidRDefault="004B6B3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79D" w14:textId="77777777" w:rsidR="00000000" w:rsidRDefault="004B6B3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DAD" w14:textId="77777777" w:rsidR="00000000" w:rsidRDefault="004B6B3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EF1" w14:textId="77777777" w:rsidR="00000000" w:rsidRDefault="004B6B3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6ADF3BD7" w14:textId="77777777" w:rsidR="00000000" w:rsidRDefault="004B6B32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32"/>
    <w:rsid w:val="004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6126D3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2022-05-13T20:53:00Z</dcterms:created>
  <dcterms:modified xsi:type="dcterms:W3CDTF">2022-05-13T20:53:00Z</dcterms:modified>
</cp:coreProperties>
</file>