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952"/>
        <w:gridCol w:w="3142"/>
        <w:gridCol w:w="3105"/>
        <w:gridCol w:w="465"/>
        <w:gridCol w:w="222"/>
      </w:tblGrid>
      <w:tr w:rsidR="00000000" w14:paraId="4E6B290A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F34F" w14:textId="77777777" w:rsidR="00000000" w:rsidRDefault="00F55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D16" w14:textId="77777777" w:rsidR="00000000" w:rsidRDefault="00F55006">
            <w:pPr>
              <w:pStyle w:val="Ttulo1"/>
              <w:jc w:val="center"/>
              <w:rPr>
                <w:rFonts w:eastAsia="Arial"/>
                <w:b/>
                <w:bCs/>
                <w:lang w:eastAsia="es-ES"/>
              </w:rPr>
            </w:pPr>
            <w:r>
              <w:rPr>
                <w:rFonts w:eastAsia="Arial"/>
                <w:b/>
                <w:bCs/>
                <w:lang w:eastAsia="es-ES"/>
              </w:rPr>
              <w:t>CNE entre las 5 instituciones con mejor Índice de Transparencia</w:t>
            </w:r>
          </w:p>
          <w:p w14:paraId="6E1AF13B" w14:textId="77777777" w:rsidR="00000000" w:rsidRDefault="00F55006">
            <w:pPr>
              <w:jc w:val="center"/>
              <w:rPr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4477853" wp14:editId="44DFA8BF">
                  <wp:extent cx="4906010" cy="5001260"/>
                  <wp:effectExtent l="0" t="0" r="8890" b="8890"/>
                  <wp:docPr id="1" name="Imagen 1" descr="Imagen que contiene Sitio web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Sitio web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010" cy="500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56623" w14:textId="77777777" w:rsidR="00000000" w:rsidRDefault="00F55006">
            <w:pPr>
              <w:spacing w:after="0" w:line="240" w:lineRule="auto"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</w:p>
          <w:p w14:paraId="564C1060" w14:textId="77777777" w:rsidR="00000000" w:rsidRDefault="00F550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 xml:space="preserve">La página web </w:t>
            </w:r>
            <w:hyperlink r:id="rId6" w:history="1">
              <w:r>
                <w:rPr>
                  <w:rStyle w:val="Hipervnculo"/>
                  <w:rFonts w:ascii="Arial" w:eastAsia="Arial" w:hAnsi="Arial" w:cs="Arial"/>
                  <w:i/>
                  <w:iCs/>
                  <w:szCs w:val="40"/>
                  <w:lang w:eastAsia="es-ES"/>
                </w:rPr>
                <w:t>www.cne.go.cr</w:t>
              </w:r>
            </w:hyperlink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 xml:space="preserve"> cuenta con mayor y mejor información.</w:t>
            </w:r>
          </w:p>
          <w:p w14:paraId="3F1D0D8A" w14:textId="77777777" w:rsidR="00000000" w:rsidRDefault="00F550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La población pueden obtenerla incluso en formatos manipulables de forma transparente y oportuna.</w:t>
            </w:r>
          </w:p>
          <w:p w14:paraId="589D38BB" w14:textId="77777777" w:rsidR="00000000" w:rsidRDefault="00F550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Los cambios realizados permiten acceder a la información en mínimo tres clics.</w:t>
            </w:r>
          </w:p>
          <w:p w14:paraId="2296305B" w14:textId="77777777" w:rsidR="00000000" w:rsidRDefault="00F55006">
            <w:pPr>
              <w:pStyle w:val="Prrafodelista"/>
              <w:spacing w:after="0" w:line="240" w:lineRule="auto"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</w:p>
          <w:p w14:paraId="76C9E567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36"/>
                <w:lang w:eastAsia="es-ES"/>
              </w:rPr>
              <w:t>San José, 02 de marzo del 2022</w:t>
            </w:r>
            <w:r>
              <w:rPr>
                <w:rFonts w:ascii="Arial" w:eastAsia="Arial" w:hAnsi="Arial" w:cs="Arial"/>
                <w:sz w:val="20"/>
                <w:szCs w:val="36"/>
                <w:lang w:eastAsia="es-ES"/>
              </w:rPr>
              <w:t xml:space="preserve">. 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La Comisión Nacional de Prevención de Riesgos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y Atención de Emergencias (CNE) se destaca entre las cinco mejores instituciones del sector público con los mejores índices de transparencia en el desarrollo de sus gestiones, acceso y calidad de la información publicada en su página web. </w:t>
            </w:r>
          </w:p>
          <w:p w14:paraId="3A729229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>Esto se obtuvo g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racias a la calificación de 93.84 dada por la Defensoría de los Habitantes y el Centro de Investigación y Capacitación en administración Pública de la Universidad de Costa Rica (CICAP).</w:t>
            </w:r>
          </w:p>
          <w:p w14:paraId="585DFE8B" w14:textId="77777777" w:rsidR="00000000" w:rsidRDefault="00F55006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El Índice de Transparencia del Sector Público (ITSP) es un instrumento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que mide la transparencia de las instituciones que conforman el sector público costarricense, centrado en el acceso a la información pública disponible en sus sitios web, y realiza una medición anual con el objetivo de fortalecer la institucionalidad cost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arricense.</w:t>
            </w:r>
          </w:p>
          <w:p w14:paraId="28FAF78F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Al respecto, Alexander Solís, presidente de la CNE indicó sentirse muy satisfecho, ya que “esta calificación refleja la confianza que le brindamos a la ciudadanía que interactúa con nuestra institución. Dentro de nuestro sitio web publicamos inf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ormación de estados financieros, compras, vacunas, pandemia y la población pueden obtenerla incluso en formatos manipulables de forma transparente y oportuna.” </w:t>
            </w:r>
          </w:p>
          <w:p w14:paraId="3EF7F35A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Durante los últimos años, la CNE ha tenido un ascenso en sus calificaciones. Siendo así, que se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pasó de un 63 a un 84 (2019-2020) y para el 2021 se escaló a la calificación actual de 93 ubicándola en un puesto bastante reconocido que identifica a la institución como un ente que cuenta con un acceso a la información relacionada con la administración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de los recursos públicos, a través de su publicación en Internet.</w:t>
            </w:r>
          </w:p>
          <w:p w14:paraId="493FABB2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La Defensoría de los Habitantes y el CICAP realizan una evaluación de los sitios web institucionales para valorar que  la sección de Transparencia cumpla con los estándares establecidos en g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arantizar el derecho humano y constitucional de acceso a la información; visibilizar la administración de los recursos públicos de forma actualizada, comprensible y transparente; promover la participación ciudadana y la rendición de cuentas; recuperar la c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onfianza de las y los habitantes en las instituciones públicas y prevenir actos de corrupción.</w:t>
            </w:r>
          </w:p>
          <w:p w14:paraId="2AAAAA00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Para el 2021, la CNE tuvo avances importantes en la estructura del instructivo de transparencia. </w:t>
            </w:r>
          </w:p>
          <w:p w14:paraId="70488FC6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Como parte de las mejoras, se redireccionó y se actualizó la pá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gina del Plan Nacional de Gestión del Riesgo. Además, se incluyó el apartado de gastos fijos y se hizo más dinámica la sección de Contraloría de Servicios que cuenta con un foro web.</w:t>
            </w:r>
          </w:p>
          <w:p w14:paraId="2AC08D9A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>Por otra parte, se incluyó los informes de viajes de 2017 al 2021; así co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mo la cantidad de funcionarios CNE contratados bajo el régimen ordinario y por emergencias.</w:t>
            </w:r>
          </w:p>
          <w:p w14:paraId="38050B5D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Se hizo una actualización y mejora de la agenda de presidencia. </w:t>
            </w:r>
          </w:p>
          <w:p w14:paraId="3491AE07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highlight w:val="red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De igual manera se fortaleció la información de Covid,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que le permite al ciudadano obtener datos e información que van desde las medidas sanitarias hasta las compras públicas hechas para la atención de la pandemia.  </w:t>
            </w:r>
          </w:p>
          <w:p w14:paraId="53CE01B5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También se incluyeron los procedimientos de compras, contrataciones y obras de infraestructura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que se desarrollar para la rehabilitación de caminos o estructuras impactadas por una emergencia. </w:t>
            </w:r>
          </w:p>
          <w:p w14:paraId="21245B51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La estética del apartado también tuvo mejoras importantes, ya que se hicieron algunas secciones interactivas como los formularios de la Contraloría de Servi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cios y la sección de navegación dentro de la sección de Transparencia.</w:t>
            </w:r>
          </w:p>
          <w:p w14:paraId="0ACFEEBF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Otro aspecto por destacar, son los cambios se han realizado para cumplir con los estándares de accesibilidad que indican que solamente con tres clics se deben acceder a la información.</w:t>
            </w:r>
          </w:p>
          <w:p w14:paraId="6606D154" w14:textId="77777777" w:rsidR="00000000" w:rsidRDefault="00F55006">
            <w:pPr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Ser parte de la Red de Transparencia Institucional, permite al ciudadano interactuar con la entidad y tener a su alcance, en tiempo real, actualizada y accesible de la información y el quehacer institucional de la CNE.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958" w14:textId="77777777" w:rsidR="00000000" w:rsidRDefault="00F55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2F39C715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6D5" w14:textId="77777777" w:rsidR="00000000" w:rsidRDefault="00F55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6D2" w14:textId="77777777" w:rsidR="00000000" w:rsidRDefault="00F55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E08" w14:textId="77777777" w:rsidR="00000000" w:rsidRDefault="00F55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4EA" w14:textId="77777777" w:rsidR="00000000" w:rsidRDefault="00F55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74F" w14:textId="77777777" w:rsidR="00000000" w:rsidRDefault="00F55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6BF" w14:textId="77777777" w:rsidR="00000000" w:rsidRDefault="00F550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56974539" w14:textId="77777777" w:rsidR="00000000" w:rsidRDefault="00F55006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277A"/>
    <w:multiLevelType w:val="hybridMultilevel"/>
    <w:tmpl w:val="7C4CF2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7985">
    <w:abstractNumId w:val="0"/>
  </w:num>
  <w:num w:numId="2" w16cid:durableId="9896036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06"/>
    <w:rsid w:val="00F5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D37ED7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e.go.c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2022-05-13T20:54:00Z</dcterms:created>
  <dcterms:modified xsi:type="dcterms:W3CDTF">2022-05-13T20:54:00Z</dcterms:modified>
</cp:coreProperties>
</file>