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1412" w:rsidRPr="00316AC8" w:rsidRDefault="00251412" w:rsidP="00251412">
      <w:pPr>
        <w:spacing w:line="240" w:lineRule="auto"/>
        <w:jc w:val="right"/>
        <w:rPr>
          <w:sz w:val="20"/>
          <w:szCs w:val="20"/>
        </w:rPr>
      </w:pPr>
      <w:bookmarkStart w:id="0" w:name="_GoBack"/>
      <w:bookmarkEnd w:id="0"/>
      <w:r w:rsidRPr="00316AC8">
        <w:rPr>
          <w:sz w:val="20"/>
          <w:szCs w:val="20"/>
        </w:rPr>
        <w:t>CP-</w:t>
      </w:r>
      <w:r w:rsidR="00B23A50">
        <w:rPr>
          <w:sz w:val="20"/>
          <w:szCs w:val="20"/>
        </w:rPr>
        <w:t>270</w:t>
      </w:r>
      <w:r w:rsidRPr="00316AC8">
        <w:rPr>
          <w:sz w:val="20"/>
          <w:szCs w:val="20"/>
        </w:rPr>
        <w:t>-2022</w:t>
      </w:r>
    </w:p>
    <w:p w:rsidR="00251412" w:rsidRDefault="00B23A50" w:rsidP="00251412">
      <w:pPr>
        <w:spacing w:line="240" w:lineRule="auto"/>
        <w:jc w:val="right"/>
        <w:rPr>
          <w:sz w:val="20"/>
          <w:szCs w:val="20"/>
        </w:rPr>
      </w:pPr>
      <w:r>
        <w:rPr>
          <w:sz w:val="20"/>
          <w:szCs w:val="20"/>
        </w:rPr>
        <w:t>Jueves</w:t>
      </w:r>
      <w:r w:rsidR="00251412" w:rsidRPr="00316AC8">
        <w:rPr>
          <w:sz w:val="20"/>
          <w:szCs w:val="20"/>
        </w:rPr>
        <w:t xml:space="preserve"> </w:t>
      </w:r>
      <w:r>
        <w:rPr>
          <w:sz w:val="20"/>
          <w:szCs w:val="20"/>
        </w:rPr>
        <w:t>24</w:t>
      </w:r>
      <w:r w:rsidR="00B973EB">
        <w:rPr>
          <w:sz w:val="20"/>
          <w:szCs w:val="20"/>
        </w:rPr>
        <w:t xml:space="preserve"> de marzo</w:t>
      </w:r>
      <w:r w:rsidR="00251412" w:rsidRPr="00316AC8">
        <w:rPr>
          <w:sz w:val="20"/>
          <w:szCs w:val="20"/>
        </w:rPr>
        <w:t xml:space="preserve"> de 2022</w:t>
      </w:r>
    </w:p>
    <w:p w:rsidR="00251412" w:rsidRDefault="00251412" w:rsidP="00251412">
      <w:pPr>
        <w:spacing w:line="360" w:lineRule="auto"/>
        <w:jc w:val="right"/>
        <w:rPr>
          <w:color w:val="434343"/>
        </w:rPr>
      </w:pPr>
    </w:p>
    <w:p w:rsidR="00B23A50" w:rsidRPr="00B23A50" w:rsidRDefault="00B23A50" w:rsidP="00B23A50">
      <w:pPr>
        <w:jc w:val="center"/>
        <w:rPr>
          <w:b/>
          <w:sz w:val="36"/>
        </w:rPr>
      </w:pPr>
      <w:r w:rsidRPr="00B23A50">
        <w:rPr>
          <w:b/>
          <w:sz w:val="36"/>
        </w:rPr>
        <w:t>País continúa priorizando recepción de vacunas pediátricas para proteger a nuestra niñez</w:t>
      </w:r>
    </w:p>
    <w:p w:rsidR="00B23A50" w:rsidRPr="00B23A50" w:rsidRDefault="00B23A50" w:rsidP="00B23A50"/>
    <w:p w:rsidR="00B23A50" w:rsidRPr="00B23A50" w:rsidRDefault="00B23A50" w:rsidP="00B23A50">
      <w:pPr>
        <w:pStyle w:val="Prrafodelista"/>
        <w:numPr>
          <w:ilvl w:val="0"/>
          <w:numId w:val="6"/>
        </w:numPr>
        <w:jc w:val="both"/>
        <w:rPr>
          <w:b/>
          <w:sz w:val="24"/>
        </w:rPr>
      </w:pPr>
      <w:r w:rsidRPr="00B23A50">
        <w:rPr>
          <w:b/>
          <w:sz w:val="24"/>
        </w:rPr>
        <w:t>Este jueves ingresaron 120.000 dosis infantiles de la casa Pfizer/</w:t>
      </w:r>
      <w:proofErr w:type="spellStart"/>
      <w:r w:rsidRPr="00B23A50">
        <w:rPr>
          <w:b/>
          <w:sz w:val="24"/>
        </w:rPr>
        <w:t>BioNTech</w:t>
      </w:r>
      <w:proofErr w:type="spellEnd"/>
      <w:r w:rsidRPr="00B23A50">
        <w:rPr>
          <w:b/>
          <w:sz w:val="24"/>
        </w:rPr>
        <w:t>.</w:t>
      </w:r>
    </w:p>
    <w:p w:rsidR="00B23A50" w:rsidRPr="00B23A50" w:rsidRDefault="00B23A50" w:rsidP="00B23A50">
      <w:pPr>
        <w:jc w:val="both"/>
        <w:rPr>
          <w:b/>
          <w:sz w:val="24"/>
        </w:rPr>
      </w:pPr>
    </w:p>
    <w:p w:rsidR="00B23A50" w:rsidRPr="00B23A50" w:rsidRDefault="00B23A50" w:rsidP="00B23A50">
      <w:pPr>
        <w:pStyle w:val="Prrafodelista"/>
        <w:numPr>
          <w:ilvl w:val="0"/>
          <w:numId w:val="6"/>
        </w:numPr>
        <w:jc w:val="both"/>
        <w:rPr>
          <w:b/>
          <w:sz w:val="24"/>
        </w:rPr>
      </w:pPr>
      <w:r w:rsidRPr="00B23A50">
        <w:rPr>
          <w:b/>
          <w:sz w:val="24"/>
        </w:rPr>
        <w:t>Marzo es el segundo mes con más vacunas recibidas durante los 15 meses de la campaña de vacunación.</w:t>
      </w:r>
    </w:p>
    <w:p w:rsidR="00B23A50" w:rsidRPr="00B23A50" w:rsidRDefault="00B23A50" w:rsidP="00B23A50">
      <w:pPr>
        <w:jc w:val="both"/>
        <w:rPr>
          <w:b/>
          <w:sz w:val="24"/>
        </w:rPr>
      </w:pPr>
    </w:p>
    <w:p w:rsidR="00B23A50" w:rsidRPr="00B23A50" w:rsidRDefault="00B23A50" w:rsidP="00B23A50">
      <w:pPr>
        <w:pStyle w:val="Prrafodelista"/>
        <w:numPr>
          <w:ilvl w:val="0"/>
          <w:numId w:val="6"/>
        </w:numPr>
        <w:jc w:val="both"/>
        <w:rPr>
          <w:b/>
          <w:sz w:val="24"/>
        </w:rPr>
      </w:pPr>
      <w:r w:rsidRPr="00B23A50">
        <w:rPr>
          <w:b/>
          <w:sz w:val="24"/>
        </w:rPr>
        <w:t>Más del 50% de la población de 5 a 11 años ya cuentan con al menos una dosis contra el COVID-19.</w:t>
      </w:r>
    </w:p>
    <w:p w:rsidR="00B23A50" w:rsidRPr="00B23A50" w:rsidRDefault="00B23A50" w:rsidP="00B23A50">
      <w:pPr>
        <w:jc w:val="both"/>
        <w:rPr>
          <w:b/>
          <w:sz w:val="24"/>
        </w:rPr>
      </w:pPr>
    </w:p>
    <w:p w:rsidR="001E1CF2" w:rsidRPr="00B23A50" w:rsidRDefault="001E1CF2" w:rsidP="001E1CF2">
      <w:pPr>
        <w:jc w:val="both"/>
      </w:pPr>
      <w:r w:rsidRPr="00B23A50">
        <w:t>Este jueves</w:t>
      </w:r>
      <w:r>
        <w:t xml:space="preserve"> por la noche,</w:t>
      </w:r>
      <w:r w:rsidRPr="00B23A50">
        <w:t xml:space="preserve"> ingresaron 120 mil dosis pediátricas de la casa farmacéutica Pfizer/</w:t>
      </w:r>
      <w:proofErr w:type="spellStart"/>
      <w:r w:rsidRPr="00B23A50">
        <w:t>BioNTech</w:t>
      </w:r>
      <w:proofErr w:type="spellEnd"/>
      <w:r w:rsidRPr="00B23A50">
        <w:t xml:space="preserve">. Con ellas se alcanza la suma de 928.600 vacunas recibidas para el grupo etario de 5 a 11 años. </w:t>
      </w:r>
    </w:p>
    <w:p w:rsidR="001E1CF2" w:rsidRDefault="001E1CF2" w:rsidP="00B23A50">
      <w:pPr>
        <w:jc w:val="both"/>
      </w:pPr>
    </w:p>
    <w:p w:rsidR="00B23A50" w:rsidRPr="00B23A50" w:rsidRDefault="00B23A50" w:rsidP="00B23A50">
      <w:pPr>
        <w:jc w:val="both"/>
      </w:pPr>
      <w:r w:rsidRPr="00B23A50">
        <w:t xml:space="preserve">En 15 meses de recepción de vacunas y 86 vuelos el país ha recibido más de 12, 8 millones de dosis contra el SARS-CoV-2. Durante este año el país ha priorizado la recepción de dosis pediátricas para acelerar la inoculación de los niños y niñas de 5 a 11 años y así fortalecer el curso lectivo. </w:t>
      </w:r>
    </w:p>
    <w:p w:rsidR="00B23A50" w:rsidRPr="00B23A50" w:rsidRDefault="00B23A50" w:rsidP="00B23A50">
      <w:pPr>
        <w:jc w:val="both"/>
      </w:pPr>
    </w:p>
    <w:p w:rsidR="00B23A50" w:rsidRDefault="001E1CF2" w:rsidP="00B23A50">
      <w:pPr>
        <w:jc w:val="both"/>
      </w:pPr>
      <w:r>
        <w:t>En este sentido</w:t>
      </w:r>
      <w:r w:rsidR="00B23A50" w:rsidRPr="00B23A50">
        <w:t xml:space="preserve"> el presidente de la Comisión Nacional de Prevención de Riesgos y Atención de Emergencias</w:t>
      </w:r>
      <w:r>
        <w:t xml:space="preserve"> (CNE)</w:t>
      </w:r>
      <w:r w:rsidR="00B23A50" w:rsidRPr="00B23A50">
        <w:t>, Alexander Solís</w:t>
      </w:r>
      <w:r>
        <w:t>, señaló:</w:t>
      </w:r>
      <w:r w:rsidR="00B23A50" w:rsidRPr="00B23A50">
        <w:t xml:space="preserve"> “dado que actualmente tenemos suficientes vacunas para adultos para cubrir el esquema de tercera dosis, el país ha estado priorizando en las últimas semanas el ingreso de la vacuna pediátrica de cara al ingreso de las lecciones presenciales”.</w:t>
      </w:r>
    </w:p>
    <w:p w:rsidR="001E1CF2" w:rsidRDefault="001E1CF2" w:rsidP="00B23A50">
      <w:pPr>
        <w:jc w:val="both"/>
      </w:pPr>
    </w:p>
    <w:p w:rsidR="001E1CF2" w:rsidRPr="00B23A50" w:rsidRDefault="001E1CF2" w:rsidP="001E1CF2">
      <w:pPr>
        <w:jc w:val="both"/>
      </w:pPr>
      <w:r w:rsidRPr="00B23A50">
        <w:t>Al corte del 22 de marzo, la Caja Costarricense de Seguro Social ha aplicado 417.268 dosis pediátricas, de las cuales 274.190 corresponden a primeras dosis (52,2% del grupo etario) y 143.078 a segundas dosis (27,2% del grupo etario).</w:t>
      </w:r>
    </w:p>
    <w:p w:rsidR="00B23A50" w:rsidRPr="00B23A50" w:rsidRDefault="00B23A50" w:rsidP="00B23A50">
      <w:pPr>
        <w:jc w:val="both"/>
      </w:pPr>
    </w:p>
    <w:p w:rsidR="00B23A50" w:rsidRPr="00B23A50" w:rsidRDefault="00B23A50" w:rsidP="00B23A50">
      <w:pPr>
        <w:jc w:val="both"/>
      </w:pPr>
      <w:r w:rsidRPr="00B23A50">
        <w:t>Una vez que las dosis arriban al país, son sometidas a la revisión de los reportes de temperatura y aprobación documental por el laboratorio de control de calidad de medicamentos, tras lo cual quedan disponibles para su utilización en la campaña de vacunación.</w:t>
      </w:r>
    </w:p>
    <w:p w:rsidR="00B23A50" w:rsidRPr="00B23A50" w:rsidRDefault="00B23A50" w:rsidP="00B23A50">
      <w:pPr>
        <w:jc w:val="both"/>
      </w:pPr>
    </w:p>
    <w:p w:rsidR="00B23A50" w:rsidRPr="00B23A50" w:rsidRDefault="00B23A50" w:rsidP="00B23A50">
      <w:pPr>
        <w:jc w:val="both"/>
      </w:pPr>
      <w:r w:rsidRPr="00B23A50">
        <w:t xml:space="preserve">Desde diciembre 2020 a la fecha, Costa Rica ha recibido </w:t>
      </w:r>
      <w:r w:rsidRPr="00B23A50">
        <w:rPr>
          <w:b/>
        </w:rPr>
        <w:t>9.154.195 dosis por contrato de compra</w:t>
      </w:r>
      <w:r w:rsidRPr="00B23A50">
        <w:t>. De ese total 7.185.825 vacunas corresponden al biológico de Pfizer/</w:t>
      </w:r>
      <w:proofErr w:type="spellStart"/>
      <w:r w:rsidRPr="00B23A50">
        <w:t>BioNTech</w:t>
      </w:r>
      <w:proofErr w:type="spellEnd"/>
      <w:r w:rsidRPr="00B23A50">
        <w:t xml:space="preserve">. Además 1.000.000 de la empresa </w:t>
      </w:r>
      <w:proofErr w:type="spellStart"/>
      <w:r w:rsidRPr="00B23A50">
        <w:t>AstraZeneca</w:t>
      </w:r>
      <w:proofErr w:type="spellEnd"/>
      <w:r w:rsidRPr="00B23A50">
        <w:t xml:space="preserve">, y 968.370 del mecanismo multilateral COVAX. </w:t>
      </w:r>
    </w:p>
    <w:p w:rsidR="00B23A50" w:rsidRPr="00B23A50" w:rsidRDefault="00B23A50" w:rsidP="00B23A50">
      <w:pPr>
        <w:jc w:val="both"/>
      </w:pPr>
    </w:p>
    <w:p w:rsidR="00B23A50" w:rsidRPr="00B23A50" w:rsidRDefault="00B23A50" w:rsidP="00B23A50">
      <w:pPr>
        <w:jc w:val="both"/>
      </w:pPr>
      <w:r w:rsidRPr="00B23A50">
        <w:t xml:space="preserve">Durante el mes se han recibido  1.473.330 vacunas, a la fecha, lo que convierte a </w:t>
      </w:r>
      <w:r w:rsidRPr="00B23A50">
        <w:rPr>
          <w:b/>
        </w:rPr>
        <w:t>marzo en el segundo mes con mayor recepción</w:t>
      </w:r>
      <w:r w:rsidRPr="00B23A50">
        <w:t xml:space="preserve"> de vacunas en 15 meses. En lo que va del 2022 el país ha recibido 4.596.240 dosis. </w:t>
      </w:r>
      <w:r w:rsidRPr="00B23A50">
        <w:rPr>
          <w:b/>
        </w:rPr>
        <w:t>Ver cuadro detalle.</w:t>
      </w:r>
    </w:p>
    <w:p w:rsidR="00B23A50" w:rsidRPr="00B23A50" w:rsidRDefault="00B23A50" w:rsidP="00B23A50">
      <w:pPr>
        <w:jc w:val="both"/>
      </w:pPr>
    </w:p>
    <w:p w:rsidR="00B23A50" w:rsidRPr="00B23A50" w:rsidRDefault="00B23A50" w:rsidP="00B23A50">
      <w:pPr>
        <w:jc w:val="both"/>
      </w:pPr>
    </w:p>
    <w:tbl>
      <w:tblPr>
        <w:tblW w:w="2696" w:type="dxa"/>
        <w:jc w:val="center"/>
        <w:tblLayout w:type="fixed"/>
        <w:tblLook w:val="0400" w:firstRow="0" w:lastRow="0" w:firstColumn="0" w:lastColumn="0" w:noHBand="0" w:noVBand="1"/>
      </w:tblPr>
      <w:tblGrid>
        <w:gridCol w:w="853"/>
        <w:gridCol w:w="1843"/>
      </w:tblGrid>
      <w:tr w:rsidR="00B23A50" w:rsidRPr="00B23A50" w:rsidTr="0048210D">
        <w:trPr>
          <w:trHeight w:val="20"/>
          <w:jc w:val="center"/>
        </w:trPr>
        <w:tc>
          <w:tcPr>
            <w:tcW w:w="853" w:type="dxa"/>
            <w:tcBorders>
              <w:top w:val="single" w:sz="4" w:space="0" w:color="000000"/>
              <w:left w:val="single" w:sz="4" w:space="0" w:color="000000"/>
              <w:bottom w:val="single" w:sz="4" w:space="0" w:color="000000"/>
              <w:right w:val="single" w:sz="4" w:space="0" w:color="000000"/>
            </w:tcBorders>
          </w:tcPr>
          <w:p w:rsidR="00B23A50" w:rsidRPr="00B23A50" w:rsidRDefault="00B23A50" w:rsidP="00B23A50">
            <w:pPr>
              <w:jc w:val="both"/>
              <w:rPr>
                <w:b/>
              </w:rPr>
            </w:pPr>
            <w:r w:rsidRPr="00B23A50">
              <w:rPr>
                <w:b/>
              </w:rPr>
              <w:t>Año</w:t>
            </w:r>
          </w:p>
        </w:tc>
        <w:tc>
          <w:tcPr>
            <w:tcW w:w="1843" w:type="dxa"/>
            <w:tcBorders>
              <w:top w:val="single" w:sz="4" w:space="0" w:color="000000"/>
              <w:left w:val="single" w:sz="4" w:space="0" w:color="000000"/>
              <w:bottom w:val="single" w:sz="4" w:space="0" w:color="000000"/>
              <w:right w:val="single" w:sz="4" w:space="0" w:color="000000"/>
            </w:tcBorders>
          </w:tcPr>
          <w:p w:rsidR="00B23A50" w:rsidRPr="00B23A50" w:rsidRDefault="00B23A50" w:rsidP="00B23A50">
            <w:pPr>
              <w:jc w:val="both"/>
              <w:rPr>
                <w:b/>
              </w:rPr>
            </w:pPr>
            <w:r w:rsidRPr="00B23A50">
              <w:rPr>
                <w:b/>
              </w:rPr>
              <w:t>Dosis recibidas</w:t>
            </w:r>
          </w:p>
        </w:tc>
      </w:tr>
      <w:tr w:rsidR="00B23A50" w:rsidRPr="00B23A50" w:rsidTr="0048210D">
        <w:trPr>
          <w:trHeight w:val="20"/>
          <w:jc w:val="center"/>
        </w:trPr>
        <w:tc>
          <w:tcPr>
            <w:tcW w:w="853" w:type="dxa"/>
            <w:tcBorders>
              <w:top w:val="single" w:sz="4" w:space="0" w:color="000000"/>
              <w:left w:val="single" w:sz="4" w:space="0" w:color="000000"/>
              <w:bottom w:val="single" w:sz="4" w:space="0" w:color="000000"/>
              <w:right w:val="single" w:sz="4" w:space="0" w:color="000000"/>
            </w:tcBorders>
          </w:tcPr>
          <w:p w:rsidR="00B23A50" w:rsidRPr="00B23A50" w:rsidRDefault="00B23A50" w:rsidP="00B23A50">
            <w:pPr>
              <w:jc w:val="both"/>
            </w:pPr>
            <w:r w:rsidRPr="00B23A50">
              <w:t>2020</w:t>
            </w:r>
          </w:p>
        </w:tc>
        <w:tc>
          <w:tcPr>
            <w:tcW w:w="1843" w:type="dxa"/>
            <w:tcBorders>
              <w:top w:val="single" w:sz="4" w:space="0" w:color="000000"/>
              <w:left w:val="single" w:sz="4" w:space="0" w:color="000000"/>
              <w:bottom w:val="single" w:sz="4" w:space="0" w:color="000000"/>
              <w:right w:val="single" w:sz="4" w:space="0" w:color="000000"/>
            </w:tcBorders>
          </w:tcPr>
          <w:p w:rsidR="00B23A50" w:rsidRPr="00B23A50" w:rsidRDefault="00B23A50" w:rsidP="00B23A50">
            <w:pPr>
              <w:jc w:val="both"/>
            </w:pPr>
            <w:r w:rsidRPr="00B23A50">
              <w:t>21.450</w:t>
            </w:r>
          </w:p>
        </w:tc>
      </w:tr>
      <w:tr w:rsidR="00B23A50" w:rsidRPr="00B23A50" w:rsidTr="0048210D">
        <w:trPr>
          <w:trHeight w:val="20"/>
          <w:jc w:val="center"/>
        </w:trPr>
        <w:tc>
          <w:tcPr>
            <w:tcW w:w="853" w:type="dxa"/>
            <w:tcBorders>
              <w:top w:val="single" w:sz="4" w:space="0" w:color="000000"/>
              <w:left w:val="single" w:sz="4" w:space="0" w:color="000000"/>
              <w:bottom w:val="single" w:sz="4" w:space="0" w:color="000000"/>
              <w:right w:val="single" w:sz="4" w:space="0" w:color="000000"/>
            </w:tcBorders>
            <w:vAlign w:val="center"/>
          </w:tcPr>
          <w:p w:rsidR="00B23A50" w:rsidRPr="00B23A50" w:rsidRDefault="00B23A50" w:rsidP="00B23A50">
            <w:pPr>
              <w:jc w:val="both"/>
            </w:pPr>
            <w:r w:rsidRPr="00B23A50">
              <w:t>2021</w:t>
            </w:r>
          </w:p>
        </w:tc>
        <w:tc>
          <w:tcPr>
            <w:tcW w:w="1843" w:type="dxa"/>
            <w:tcBorders>
              <w:top w:val="single" w:sz="4" w:space="0" w:color="000000"/>
              <w:left w:val="single" w:sz="4" w:space="0" w:color="000000"/>
              <w:bottom w:val="single" w:sz="4" w:space="0" w:color="000000"/>
              <w:right w:val="single" w:sz="4" w:space="0" w:color="000000"/>
            </w:tcBorders>
          </w:tcPr>
          <w:p w:rsidR="00B23A50" w:rsidRPr="00B23A50" w:rsidRDefault="00B23A50" w:rsidP="00B23A50">
            <w:pPr>
              <w:jc w:val="both"/>
            </w:pPr>
            <w:r w:rsidRPr="00B23A50">
              <w:t>8.270.295</w:t>
            </w:r>
          </w:p>
        </w:tc>
      </w:tr>
      <w:tr w:rsidR="00B23A50" w:rsidRPr="00B23A50" w:rsidTr="0048210D">
        <w:trPr>
          <w:trHeight w:val="20"/>
          <w:jc w:val="center"/>
        </w:trPr>
        <w:tc>
          <w:tcPr>
            <w:tcW w:w="853" w:type="dxa"/>
            <w:tcBorders>
              <w:top w:val="single" w:sz="4" w:space="0" w:color="000000"/>
              <w:left w:val="single" w:sz="4" w:space="0" w:color="000000"/>
              <w:bottom w:val="single" w:sz="4" w:space="0" w:color="000000"/>
              <w:right w:val="single" w:sz="4" w:space="0" w:color="000000"/>
            </w:tcBorders>
            <w:vAlign w:val="center"/>
          </w:tcPr>
          <w:p w:rsidR="00B23A50" w:rsidRPr="00B23A50" w:rsidRDefault="00B23A50" w:rsidP="00B23A50">
            <w:pPr>
              <w:jc w:val="both"/>
            </w:pPr>
            <w:r w:rsidRPr="00B23A50">
              <w:t>2022</w:t>
            </w:r>
          </w:p>
        </w:tc>
        <w:tc>
          <w:tcPr>
            <w:tcW w:w="1843" w:type="dxa"/>
            <w:tcBorders>
              <w:top w:val="single" w:sz="4" w:space="0" w:color="000000"/>
              <w:left w:val="single" w:sz="4" w:space="0" w:color="000000"/>
              <w:bottom w:val="single" w:sz="4" w:space="0" w:color="000000"/>
              <w:right w:val="single" w:sz="4" w:space="0" w:color="000000"/>
            </w:tcBorders>
          </w:tcPr>
          <w:p w:rsidR="00B23A50" w:rsidRPr="00B23A50" w:rsidRDefault="00B23A50" w:rsidP="00B23A50">
            <w:pPr>
              <w:jc w:val="both"/>
            </w:pPr>
            <w:r w:rsidRPr="00B23A50">
              <w:t>4.596.240</w:t>
            </w:r>
          </w:p>
        </w:tc>
      </w:tr>
      <w:tr w:rsidR="00B23A50" w:rsidRPr="00B23A50" w:rsidTr="0048210D">
        <w:trPr>
          <w:trHeight w:val="20"/>
          <w:jc w:val="center"/>
        </w:trPr>
        <w:tc>
          <w:tcPr>
            <w:tcW w:w="853" w:type="dxa"/>
            <w:tcBorders>
              <w:top w:val="single" w:sz="4" w:space="0" w:color="000000"/>
              <w:left w:val="single" w:sz="4" w:space="0" w:color="000000"/>
              <w:bottom w:val="single" w:sz="4" w:space="0" w:color="000000"/>
              <w:right w:val="single" w:sz="4" w:space="0" w:color="000000"/>
            </w:tcBorders>
          </w:tcPr>
          <w:p w:rsidR="00B23A50" w:rsidRPr="00B23A50" w:rsidRDefault="00B23A50" w:rsidP="00B23A50">
            <w:pPr>
              <w:jc w:val="both"/>
            </w:pPr>
            <w:r w:rsidRPr="00B23A50">
              <w:t>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3A50" w:rsidRPr="00B23A50" w:rsidRDefault="00B23A50" w:rsidP="00B23A50">
            <w:pPr>
              <w:jc w:val="both"/>
            </w:pPr>
            <w:r w:rsidRPr="00B23A50">
              <w:t>12.887.985**</w:t>
            </w:r>
          </w:p>
        </w:tc>
      </w:tr>
    </w:tbl>
    <w:p w:rsidR="00B23A50" w:rsidRPr="00B23A50" w:rsidRDefault="00B23A50" w:rsidP="00B23A50">
      <w:pPr>
        <w:jc w:val="both"/>
      </w:pPr>
      <w:r w:rsidRPr="00B23A50">
        <w:t xml:space="preserve">                                                                                         </w:t>
      </w:r>
      <w:r w:rsidRPr="00B23A50">
        <w:tab/>
        <w:t>**A la fecha.</w:t>
      </w:r>
    </w:p>
    <w:p w:rsidR="00B23A50" w:rsidRPr="00B23A50" w:rsidRDefault="00B23A50" w:rsidP="00B23A50">
      <w:pPr>
        <w:jc w:val="both"/>
      </w:pPr>
    </w:p>
    <w:p w:rsidR="00B23A50" w:rsidRPr="00B23A50" w:rsidRDefault="00B23A50" w:rsidP="00B23A50">
      <w:pPr>
        <w:jc w:val="both"/>
      </w:pPr>
      <w:r w:rsidRPr="00B23A50">
        <w:t xml:space="preserve">Además de las dosis por contrato de compra, </w:t>
      </w:r>
      <w:r w:rsidRPr="00B23A50">
        <w:rPr>
          <w:b/>
        </w:rPr>
        <w:t>3.733.790 dosis han sido donadas</w:t>
      </w:r>
      <w:r w:rsidRPr="00B23A50">
        <w:t xml:space="preserve"> por los gobiernos de España (1.572.290) Estados Unidos (1.503.900), Canadá (319.200), Francia (200.070), República Dominicana (56.800) y Austria (50.000), además de las donaciones hechas por las empresas </w:t>
      </w:r>
      <w:proofErr w:type="spellStart"/>
      <w:r w:rsidRPr="00B23A50">
        <w:t>AstraZeneca</w:t>
      </w:r>
      <w:proofErr w:type="spellEnd"/>
      <w:r w:rsidRPr="00B23A50">
        <w:t xml:space="preserve"> (31.400) y Pfizer/</w:t>
      </w:r>
      <w:proofErr w:type="spellStart"/>
      <w:r w:rsidRPr="00B23A50">
        <w:t>BioNTech</w:t>
      </w:r>
      <w:proofErr w:type="spellEnd"/>
      <w:r w:rsidRPr="00B23A50">
        <w:t xml:space="preserve"> (130). </w:t>
      </w:r>
    </w:p>
    <w:p w:rsidR="00B23A50" w:rsidRPr="00B23A50" w:rsidRDefault="00B23A50" w:rsidP="00B23A50">
      <w:pPr>
        <w:jc w:val="both"/>
      </w:pPr>
    </w:p>
    <w:p w:rsidR="0044319D" w:rsidRPr="00251412" w:rsidRDefault="001E1CF2" w:rsidP="001E1CF2">
      <w:pPr>
        <w:jc w:val="both"/>
      </w:pPr>
      <w:r>
        <w:t xml:space="preserve">Así, </w:t>
      </w:r>
      <w:r w:rsidR="00B23A50" w:rsidRPr="00B23A50">
        <w:t xml:space="preserve">Costa Rica ha recibido un total de </w:t>
      </w:r>
      <w:r w:rsidR="00B23A50" w:rsidRPr="00B23A50">
        <w:rPr>
          <w:b/>
        </w:rPr>
        <w:t>12.887.985 dosis</w:t>
      </w:r>
      <w:r w:rsidR="00B23A50" w:rsidRPr="00B23A50">
        <w:t xml:space="preserve">, a la fecha, entre donaciones y contratos de compra. </w:t>
      </w:r>
    </w:p>
    <w:sectPr w:rsidR="0044319D" w:rsidRPr="002514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F0E" w:rsidRDefault="00DC7F0E">
      <w:pPr>
        <w:spacing w:line="240" w:lineRule="auto"/>
      </w:pPr>
      <w:r>
        <w:separator/>
      </w:r>
    </w:p>
  </w:endnote>
  <w:endnote w:type="continuationSeparator" w:id="0">
    <w:p w:rsidR="00DC7F0E" w:rsidRDefault="00DC7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D7" w:rsidRDefault="00E32AD7">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D7" w:rsidRDefault="00A70415">
    <w:pPr>
      <w:pBdr>
        <w:top w:val="nil"/>
        <w:left w:val="nil"/>
        <w:bottom w:val="nil"/>
        <w:right w:val="nil"/>
        <w:between w:val="nil"/>
      </w:pBdr>
      <w:tabs>
        <w:tab w:val="center" w:pos="4419"/>
        <w:tab w:val="right" w:pos="8838"/>
      </w:tabs>
      <w:spacing w:line="240" w:lineRule="auto"/>
      <w:rPr>
        <w:color w:val="000000"/>
      </w:rPr>
    </w:pPr>
    <w:r>
      <w:rPr>
        <w:noProof/>
      </w:rPr>
      <w:drawing>
        <wp:anchor distT="0" distB="0" distL="114300" distR="114300" simplePos="0" relativeHeight="251664384" behindDoc="0" locked="0" layoutInCell="1" hidden="0" allowOverlap="1">
          <wp:simplePos x="0" y="0"/>
          <wp:positionH relativeFrom="column">
            <wp:posOffset>40864</wp:posOffset>
          </wp:positionH>
          <wp:positionV relativeFrom="paragraph">
            <wp:posOffset>69022</wp:posOffset>
          </wp:positionV>
          <wp:extent cx="5943600" cy="5969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59690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D7" w:rsidRDefault="00E32AD7">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F0E" w:rsidRDefault="00DC7F0E">
      <w:pPr>
        <w:spacing w:line="240" w:lineRule="auto"/>
      </w:pPr>
      <w:r>
        <w:separator/>
      </w:r>
    </w:p>
  </w:footnote>
  <w:footnote w:type="continuationSeparator" w:id="0">
    <w:p w:rsidR="00DC7F0E" w:rsidRDefault="00DC7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D7" w:rsidRDefault="00E32AD7">
    <w:pPr>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D7" w:rsidRDefault="00632856">
    <w:pPr>
      <w:tabs>
        <w:tab w:val="center" w:pos="4680"/>
      </w:tabs>
      <w:spacing w:line="360" w:lineRule="auto"/>
      <w:jc w:val="center"/>
    </w:pPr>
    <w:r>
      <w:rPr>
        <w:noProof/>
      </w:rPr>
      <w:drawing>
        <wp:anchor distT="0" distB="0" distL="114300" distR="114300" simplePos="0" relativeHeight="251661312" behindDoc="0" locked="0" layoutInCell="1" hidden="0" allowOverlap="1">
          <wp:simplePos x="0" y="0"/>
          <wp:positionH relativeFrom="column">
            <wp:posOffset>3324225</wp:posOffset>
          </wp:positionH>
          <wp:positionV relativeFrom="paragraph">
            <wp:posOffset>-257175</wp:posOffset>
          </wp:positionV>
          <wp:extent cx="788035" cy="714375"/>
          <wp:effectExtent l="0" t="0" r="0" b="9525"/>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8035" cy="7143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1266825</wp:posOffset>
          </wp:positionH>
          <wp:positionV relativeFrom="paragraph">
            <wp:posOffset>-209550</wp:posOffset>
          </wp:positionV>
          <wp:extent cx="1543050" cy="662940"/>
          <wp:effectExtent l="0" t="0" r="0" b="3810"/>
          <wp:wrapTopAndBottom/>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543050" cy="66294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-466725</wp:posOffset>
          </wp:positionH>
          <wp:positionV relativeFrom="paragraph">
            <wp:posOffset>-228600</wp:posOffset>
          </wp:positionV>
          <wp:extent cx="1252220" cy="681355"/>
          <wp:effectExtent l="0" t="0" r="5080" b="4445"/>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252220" cy="68135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4543425</wp:posOffset>
          </wp:positionH>
          <wp:positionV relativeFrom="paragraph">
            <wp:posOffset>-276225</wp:posOffset>
          </wp:positionV>
          <wp:extent cx="822325" cy="732790"/>
          <wp:effectExtent l="0" t="0" r="0" b="0"/>
          <wp:wrapTopAndBottom/>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822325" cy="732790"/>
                  </a:xfrm>
                  <a:prstGeom prst="rect">
                    <a:avLst/>
                  </a:prstGeom>
                  <a:ln/>
                </pic:spPr>
              </pic:pic>
            </a:graphicData>
          </a:graphic>
        </wp:anchor>
      </w:drawing>
    </w:r>
    <w:r w:rsidR="00A70415">
      <w:rPr>
        <w:noProof/>
      </w:rPr>
      <w:drawing>
        <wp:anchor distT="0" distB="0" distL="0" distR="0" simplePos="0" relativeHeight="251658240" behindDoc="0" locked="0" layoutInCell="1" hidden="0" allowOverlap="1">
          <wp:simplePos x="0" y="0"/>
          <wp:positionH relativeFrom="column">
            <wp:posOffset>5562600</wp:posOffset>
          </wp:positionH>
          <wp:positionV relativeFrom="paragraph">
            <wp:posOffset>-457200</wp:posOffset>
          </wp:positionV>
          <wp:extent cx="1296670" cy="1347470"/>
          <wp:effectExtent l="0" t="0" r="0" b="0"/>
          <wp:wrapTopAndBottom/>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l="83339" t="153" b="153"/>
                  <a:stretch>
                    <a:fillRect/>
                  </a:stretch>
                </pic:blipFill>
                <pic:spPr>
                  <a:xfrm>
                    <a:off x="0" y="0"/>
                    <a:ext cx="1296670" cy="134747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D7" w:rsidRDefault="00E32AD7">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6241"/>
    <w:multiLevelType w:val="multilevel"/>
    <w:tmpl w:val="411E93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B5C5A1E"/>
    <w:multiLevelType w:val="hybridMultilevel"/>
    <w:tmpl w:val="07C222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5B0C2CDD"/>
    <w:multiLevelType w:val="multilevel"/>
    <w:tmpl w:val="A0EAC8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F4114E5"/>
    <w:multiLevelType w:val="multilevel"/>
    <w:tmpl w:val="93408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671456A"/>
    <w:multiLevelType w:val="multilevel"/>
    <w:tmpl w:val="5BD429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6BD1366"/>
    <w:multiLevelType w:val="hybridMultilevel"/>
    <w:tmpl w:val="DA50E1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D7"/>
    <w:rsid w:val="00043DCF"/>
    <w:rsid w:val="000634F0"/>
    <w:rsid w:val="000C2A9E"/>
    <w:rsid w:val="000D2C17"/>
    <w:rsid w:val="000F53A8"/>
    <w:rsid w:val="00154BFA"/>
    <w:rsid w:val="00180FD6"/>
    <w:rsid w:val="001A19A1"/>
    <w:rsid w:val="001A3F47"/>
    <w:rsid w:val="001E1CF2"/>
    <w:rsid w:val="001F3579"/>
    <w:rsid w:val="00216CAB"/>
    <w:rsid w:val="002307E5"/>
    <w:rsid w:val="00237310"/>
    <w:rsid w:val="00251412"/>
    <w:rsid w:val="00285859"/>
    <w:rsid w:val="002A707F"/>
    <w:rsid w:val="002E1EED"/>
    <w:rsid w:val="00304B1C"/>
    <w:rsid w:val="0032765C"/>
    <w:rsid w:val="003347E8"/>
    <w:rsid w:val="003837C7"/>
    <w:rsid w:val="003E5749"/>
    <w:rsid w:val="003F3A08"/>
    <w:rsid w:val="003F49EB"/>
    <w:rsid w:val="00412B5F"/>
    <w:rsid w:val="00426A6A"/>
    <w:rsid w:val="0044319D"/>
    <w:rsid w:val="00463C81"/>
    <w:rsid w:val="004907C8"/>
    <w:rsid w:val="004A626C"/>
    <w:rsid w:val="004C5CB8"/>
    <w:rsid w:val="0050470B"/>
    <w:rsid w:val="0051228C"/>
    <w:rsid w:val="005236AB"/>
    <w:rsid w:val="005739D7"/>
    <w:rsid w:val="00587682"/>
    <w:rsid w:val="005A7F56"/>
    <w:rsid w:val="005D214C"/>
    <w:rsid w:val="00632856"/>
    <w:rsid w:val="00647106"/>
    <w:rsid w:val="00655029"/>
    <w:rsid w:val="00655913"/>
    <w:rsid w:val="006957F4"/>
    <w:rsid w:val="006A0726"/>
    <w:rsid w:val="006A1649"/>
    <w:rsid w:val="006D4908"/>
    <w:rsid w:val="00711BAD"/>
    <w:rsid w:val="007920DE"/>
    <w:rsid w:val="007F1E5A"/>
    <w:rsid w:val="00803E05"/>
    <w:rsid w:val="00815FE0"/>
    <w:rsid w:val="00855297"/>
    <w:rsid w:val="00896BCE"/>
    <w:rsid w:val="008B1036"/>
    <w:rsid w:val="008D3F0F"/>
    <w:rsid w:val="009276BF"/>
    <w:rsid w:val="009A4B7A"/>
    <w:rsid w:val="00A041C9"/>
    <w:rsid w:val="00A219F7"/>
    <w:rsid w:val="00A316B8"/>
    <w:rsid w:val="00A70415"/>
    <w:rsid w:val="00AC7ADE"/>
    <w:rsid w:val="00AE763E"/>
    <w:rsid w:val="00AF34DE"/>
    <w:rsid w:val="00B23A50"/>
    <w:rsid w:val="00B324E3"/>
    <w:rsid w:val="00B973EB"/>
    <w:rsid w:val="00BA0959"/>
    <w:rsid w:val="00BC04CB"/>
    <w:rsid w:val="00C16C61"/>
    <w:rsid w:val="00C27125"/>
    <w:rsid w:val="00C714FD"/>
    <w:rsid w:val="00C970CF"/>
    <w:rsid w:val="00CA2318"/>
    <w:rsid w:val="00CE0288"/>
    <w:rsid w:val="00CF05A7"/>
    <w:rsid w:val="00CF1506"/>
    <w:rsid w:val="00CF33A1"/>
    <w:rsid w:val="00D46599"/>
    <w:rsid w:val="00D540E8"/>
    <w:rsid w:val="00D842FC"/>
    <w:rsid w:val="00D92D1C"/>
    <w:rsid w:val="00D9354D"/>
    <w:rsid w:val="00DC7F0E"/>
    <w:rsid w:val="00DD47FC"/>
    <w:rsid w:val="00DE0255"/>
    <w:rsid w:val="00DE45DA"/>
    <w:rsid w:val="00E117F4"/>
    <w:rsid w:val="00E27D36"/>
    <w:rsid w:val="00E32AD7"/>
    <w:rsid w:val="00E525F7"/>
    <w:rsid w:val="00E96118"/>
    <w:rsid w:val="00EA091D"/>
    <w:rsid w:val="00EC05D7"/>
    <w:rsid w:val="00F011C5"/>
    <w:rsid w:val="00F0453D"/>
    <w:rsid w:val="00F150B4"/>
    <w:rsid w:val="00F72998"/>
    <w:rsid w:val="00F95094"/>
    <w:rsid w:val="00FA10E7"/>
    <w:rsid w:val="00FA1C72"/>
    <w:rsid w:val="00FC5D39"/>
    <w:rsid w:val="00FE60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EAC72-0B34-48AB-A99D-0F8CD2A9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R" w:eastAsia="es-C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after="160" w:line="240" w:lineRule="auto"/>
    </w:pPr>
    <w:rPr>
      <w:sz w:val="20"/>
      <w:szCs w:val="20"/>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A4B7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A4B7A"/>
    <w:rPr>
      <w:b/>
      <w:bCs/>
    </w:rPr>
  </w:style>
  <w:style w:type="paragraph" w:styleId="Prrafodelista">
    <w:name w:val="List Paragraph"/>
    <w:basedOn w:val="Normal"/>
    <w:uiPriority w:val="34"/>
    <w:qFormat/>
    <w:rsid w:val="00D92D1C"/>
    <w:pPr>
      <w:ind w:left="720"/>
      <w:contextualSpacing/>
    </w:pPr>
  </w:style>
  <w:style w:type="paragraph" w:styleId="Textodeglobo">
    <w:name w:val="Balloon Text"/>
    <w:basedOn w:val="Normal"/>
    <w:link w:val="TextodegloboCar"/>
    <w:uiPriority w:val="99"/>
    <w:semiHidden/>
    <w:unhideWhenUsed/>
    <w:rsid w:val="0025141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39465">
      <w:bodyDiv w:val="1"/>
      <w:marLeft w:val="0"/>
      <w:marRight w:val="0"/>
      <w:marTop w:val="0"/>
      <w:marBottom w:val="0"/>
      <w:divBdr>
        <w:top w:val="none" w:sz="0" w:space="0" w:color="auto"/>
        <w:left w:val="none" w:sz="0" w:space="0" w:color="auto"/>
        <w:bottom w:val="none" w:sz="0" w:space="0" w:color="auto"/>
        <w:right w:val="none" w:sz="0" w:space="0" w:color="auto"/>
      </w:divBdr>
    </w:div>
    <w:div w:id="133171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Arnoldo Rivera Jiménez</dc:creator>
  <cp:lastModifiedBy>Ricardo León Gómez</cp:lastModifiedBy>
  <cp:revision>4</cp:revision>
  <cp:lastPrinted>2022-03-24T21:53:00Z</cp:lastPrinted>
  <dcterms:created xsi:type="dcterms:W3CDTF">2022-03-24T21:52:00Z</dcterms:created>
  <dcterms:modified xsi:type="dcterms:W3CDTF">2022-03-25T02:30:00Z</dcterms:modified>
</cp:coreProperties>
</file>