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1065"/>
        <w:gridCol w:w="3454"/>
        <w:gridCol w:w="3414"/>
        <w:gridCol w:w="534"/>
        <w:gridCol w:w="221"/>
      </w:tblGrid>
      <w:tr w:rsidR="00000000" w14:paraId="472CF015" w14:textId="77777777">
        <w:tc>
          <w:tcPr>
            <w:tcW w:w="270" w:type="dxa"/>
            <w:tcBorders>
              <w:top w:val="single" w:sz="4" w:space="0" w:color="auto"/>
              <w:left w:val="single" w:sz="4" w:space="0" w:color="auto"/>
              <w:bottom w:val="single" w:sz="4" w:space="0" w:color="auto"/>
              <w:right w:val="single" w:sz="4" w:space="0" w:color="auto"/>
            </w:tcBorders>
          </w:tcPr>
          <w:p w14:paraId="7A8526F8" w14:textId="77777777" w:rsidR="00000000" w:rsidRDefault="00750C96">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6134E350" w14:textId="77777777" w:rsidR="00000000" w:rsidRDefault="00750C96">
            <w:pPr>
              <w:rPr>
                <w:lang w:val="es-ES"/>
              </w:rPr>
            </w:pPr>
          </w:p>
          <w:p w14:paraId="45017191" w14:textId="77777777" w:rsidR="00000000" w:rsidRDefault="00750C96">
            <w:pPr>
              <w:spacing w:after="0" w:line="240" w:lineRule="auto"/>
              <w:jc w:val="center"/>
              <w:rPr>
                <w:rFonts w:asciiTheme="majorHAnsi" w:eastAsiaTheme="majorEastAsia" w:hAnsiTheme="majorHAnsi" w:cstheme="majorBidi"/>
                <w:color w:val="2E74B5" w:themeColor="accent1" w:themeShade="BF"/>
                <w:sz w:val="36"/>
                <w:szCs w:val="36"/>
                <w:lang w:val="es-ES"/>
              </w:rPr>
            </w:pPr>
            <w:r>
              <w:rPr>
                <w:rFonts w:asciiTheme="majorHAnsi" w:eastAsiaTheme="majorEastAsia" w:hAnsiTheme="majorHAnsi" w:cstheme="majorBidi"/>
                <w:color w:val="2E74B5" w:themeColor="accent1" w:themeShade="BF"/>
                <w:sz w:val="36"/>
                <w:szCs w:val="36"/>
                <w:lang w:val="es-ES"/>
              </w:rPr>
              <w:t>Instituciones se enlazan para articular acciones y mitigar efectos negativos de la época seca</w:t>
            </w:r>
          </w:p>
          <w:p w14:paraId="636EAB07" w14:textId="77777777" w:rsidR="00000000" w:rsidRDefault="00750C96">
            <w:pPr>
              <w:spacing w:after="0" w:line="240" w:lineRule="auto"/>
              <w:jc w:val="center"/>
              <w:rPr>
                <w:rFonts w:ascii="Arial" w:hAnsi="Arial" w:cs="Arial"/>
                <w:b/>
              </w:rPr>
            </w:pPr>
            <w:r>
              <w:rPr>
                <w:rFonts w:ascii="Arial" w:hAnsi="Arial" w:cs="Arial"/>
                <w:b/>
                <w:noProof/>
              </w:rPr>
              <w:drawing>
                <wp:inline distT="0" distB="0" distL="0" distR="0" wp14:anchorId="4346BDA2" wp14:editId="0BE5B803">
                  <wp:extent cx="6154420" cy="4619625"/>
                  <wp:effectExtent l="0" t="0" r="0" b="952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420" cy="4619625"/>
                          </a:xfrm>
                          <a:prstGeom prst="rect">
                            <a:avLst/>
                          </a:prstGeom>
                          <a:noFill/>
                          <a:ln>
                            <a:noFill/>
                          </a:ln>
                        </pic:spPr>
                      </pic:pic>
                    </a:graphicData>
                  </a:graphic>
                </wp:inline>
              </w:drawing>
            </w:r>
          </w:p>
          <w:p w14:paraId="27A42634" w14:textId="77777777" w:rsidR="00000000" w:rsidRDefault="00750C96">
            <w:pPr>
              <w:spacing w:after="0" w:line="240" w:lineRule="auto"/>
              <w:rPr>
                <w:rFonts w:ascii="Arial" w:hAnsi="Arial" w:cs="Arial"/>
                <w:b/>
              </w:rPr>
            </w:pPr>
          </w:p>
          <w:p w14:paraId="5F5A59A1" w14:textId="77777777" w:rsidR="00000000" w:rsidRDefault="00750C96">
            <w:pPr>
              <w:pStyle w:val="Prrafodelista"/>
              <w:numPr>
                <w:ilvl w:val="0"/>
                <w:numId w:val="5"/>
              </w:numPr>
              <w:spacing w:after="0" w:line="240" w:lineRule="auto"/>
              <w:jc w:val="both"/>
              <w:rPr>
                <w:rFonts w:ascii="Arial" w:hAnsi="Arial" w:cs="Arial"/>
                <w:i/>
              </w:rPr>
            </w:pPr>
            <w:r>
              <w:rPr>
                <w:rFonts w:ascii="Arial" w:hAnsi="Arial" w:cs="Arial"/>
                <w:i/>
              </w:rPr>
              <w:t>Temporada de verano se desarrolla con normalidad y se extenderá hasta finales del mes de marzo.</w:t>
            </w:r>
          </w:p>
          <w:p w14:paraId="282D4CEE" w14:textId="77777777" w:rsidR="00000000" w:rsidRDefault="00750C96">
            <w:pPr>
              <w:pStyle w:val="Prrafodelista"/>
              <w:spacing w:after="0" w:line="240" w:lineRule="auto"/>
              <w:ind w:left="0"/>
              <w:jc w:val="both"/>
              <w:rPr>
                <w:rFonts w:ascii="Arial" w:hAnsi="Arial" w:cs="Arial"/>
                <w:i/>
              </w:rPr>
            </w:pPr>
          </w:p>
          <w:p w14:paraId="6CED1F53" w14:textId="77777777" w:rsidR="00000000" w:rsidRDefault="00750C96">
            <w:pPr>
              <w:pStyle w:val="Prrafodelista"/>
              <w:numPr>
                <w:ilvl w:val="0"/>
                <w:numId w:val="5"/>
              </w:numPr>
              <w:spacing w:after="0" w:line="240" w:lineRule="auto"/>
              <w:jc w:val="both"/>
              <w:rPr>
                <w:rFonts w:ascii="Arial" w:hAnsi="Arial" w:cs="Arial"/>
                <w:i/>
              </w:rPr>
            </w:pPr>
            <w:r>
              <w:rPr>
                <w:rFonts w:ascii="Arial" w:hAnsi="Arial" w:cs="Arial"/>
                <w:i/>
              </w:rPr>
              <w:t xml:space="preserve">AyA </w:t>
            </w:r>
            <w:r>
              <w:rPr>
                <w:rFonts w:ascii="Arial" w:hAnsi="Arial" w:cs="Arial"/>
                <w:i/>
              </w:rPr>
              <w:t>incorpora nueva infraestructura hidráulica para aumentar y distribuir de forma más eficiente el recurso hídrico.</w:t>
            </w:r>
          </w:p>
          <w:p w14:paraId="5FD79D53" w14:textId="77777777" w:rsidR="00000000" w:rsidRDefault="00750C96">
            <w:pPr>
              <w:pStyle w:val="Prrafodelista"/>
              <w:spacing w:after="0" w:line="240" w:lineRule="auto"/>
              <w:ind w:left="0"/>
              <w:jc w:val="both"/>
              <w:rPr>
                <w:rFonts w:ascii="Arial" w:hAnsi="Arial" w:cs="Arial"/>
                <w:i/>
              </w:rPr>
            </w:pPr>
          </w:p>
          <w:p w14:paraId="6DBB61D3" w14:textId="77777777" w:rsidR="00000000" w:rsidRDefault="00750C96">
            <w:pPr>
              <w:pStyle w:val="Prrafodelista"/>
              <w:numPr>
                <w:ilvl w:val="0"/>
                <w:numId w:val="5"/>
              </w:numPr>
              <w:spacing w:after="0" w:line="240" w:lineRule="auto"/>
              <w:rPr>
                <w:rFonts w:ascii="Arial" w:hAnsi="Arial" w:cs="Arial"/>
                <w:i/>
              </w:rPr>
            </w:pPr>
            <w:r>
              <w:rPr>
                <w:rFonts w:ascii="Arial" w:hAnsi="Arial" w:cs="Arial"/>
                <w:i/>
              </w:rPr>
              <w:t>La CNE destinó más de 3 mil 438 millones de colones durante el periodo 2020-2021 para la agricultura, pecuaria y abastecimiento de agua.</w:t>
            </w:r>
          </w:p>
          <w:p w14:paraId="48A4D257" w14:textId="77777777" w:rsidR="00000000" w:rsidRDefault="00750C96">
            <w:pPr>
              <w:spacing w:after="0" w:line="276" w:lineRule="auto"/>
              <w:ind w:left="720"/>
              <w:jc w:val="both"/>
              <w:rPr>
                <w:rFonts w:ascii="Arial" w:hAnsi="Arial" w:cs="Arial"/>
                <w:i/>
              </w:rPr>
            </w:pPr>
          </w:p>
          <w:p w14:paraId="762622A7" w14:textId="77777777" w:rsidR="00000000" w:rsidRDefault="00750C96">
            <w:pPr>
              <w:tabs>
                <w:tab w:val="left" w:pos="2880"/>
              </w:tabs>
              <w:spacing w:after="0" w:line="240" w:lineRule="auto"/>
              <w:jc w:val="both"/>
              <w:rPr>
                <w:rFonts w:ascii="Arial" w:hAnsi="Arial" w:cs="Arial"/>
                <w:bCs/>
                <w:i/>
                <w:iCs/>
                <w:sz w:val="20"/>
                <w:szCs w:val="20"/>
                <w:lang w:val="es-ES"/>
              </w:rPr>
            </w:pPr>
          </w:p>
          <w:p w14:paraId="300C52B6" w14:textId="77777777" w:rsidR="00000000" w:rsidRDefault="00750C96">
            <w:pPr>
              <w:pStyle w:val="Prrafodelista"/>
              <w:spacing w:after="0" w:line="240" w:lineRule="auto"/>
              <w:rPr>
                <w:rFonts w:ascii="Arial" w:hAnsi="Arial" w:cs="Arial"/>
                <w:bCs/>
                <w:i/>
                <w:iCs/>
                <w:sz w:val="20"/>
                <w:szCs w:val="20"/>
                <w:lang w:val="es-ES"/>
              </w:rPr>
            </w:pPr>
          </w:p>
          <w:p w14:paraId="63CDD546" w14:textId="77777777" w:rsidR="00000000" w:rsidRDefault="00750C96">
            <w:pPr>
              <w:jc w:val="both"/>
              <w:rPr>
                <w:rFonts w:ascii="Arial" w:eastAsia="Arial" w:hAnsi="Arial" w:cs="Arial"/>
                <w:sz w:val="24"/>
                <w:szCs w:val="44"/>
                <w:lang w:eastAsia="es-ES"/>
              </w:rPr>
            </w:pPr>
            <w:r>
              <w:rPr>
                <w:rFonts w:ascii="Arial" w:hAnsi="Arial" w:cs="Arial"/>
                <w:b/>
                <w:bCs/>
                <w:szCs w:val="24"/>
              </w:rPr>
              <w:t>San José, 25 de febrero de 2022.</w:t>
            </w:r>
            <w:r>
              <w:rPr>
                <w:rFonts w:ascii="Arial" w:hAnsi="Arial" w:cs="Arial"/>
                <w:szCs w:val="24"/>
              </w:rPr>
              <w:t xml:space="preserve"> </w:t>
            </w:r>
            <w:r>
              <w:rPr>
                <w:rFonts w:ascii="Arial" w:eastAsia="Arial" w:hAnsi="Arial" w:cs="Arial"/>
                <w:sz w:val="24"/>
                <w:szCs w:val="44"/>
                <w:lang w:eastAsia="es-ES"/>
              </w:rPr>
              <w:t>Ante los pronósticos del Instituto Meteorológico Nacional (IMN) para el presente año, la Comisión Nacional de Prevención de Riesgos y Atención de Emergencias (CNE) articula acciones junto al Ministerio de Agricultura y Gana</w:t>
            </w:r>
            <w:r>
              <w:rPr>
                <w:rFonts w:ascii="Arial" w:eastAsia="Arial" w:hAnsi="Arial" w:cs="Arial"/>
                <w:sz w:val="24"/>
                <w:szCs w:val="44"/>
                <w:lang w:eastAsia="es-ES"/>
              </w:rPr>
              <w:t>dería (MAG), y el Instituto Costarricense de Acueductos y Alcantarillados (AyA), con el fin de disminuir los efectos negativos que genera la época seca en diversos territorios.</w:t>
            </w:r>
          </w:p>
          <w:p w14:paraId="6A7BD15E" w14:textId="77777777" w:rsidR="00000000" w:rsidRDefault="00750C96">
            <w:pPr>
              <w:jc w:val="both"/>
              <w:rPr>
                <w:rFonts w:ascii="Arial" w:eastAsia="Arial" w:hAnsi="Arial" w:cs="Arial"/>
                <w:sz w:val="24"/>
                <w:szCs w:val="44"/>
                <w:lang w:eastAsia="es-ES"/>
              </w:rPr>
            </w:pPr>
            <w:r>
              <w:rPr>
                <w:rFonts w:ascii="Arial" w:eastAsia="Arial" w:hAnsi="Arial" w:cs="Arial"/>
                <w:sz w:val="24"/>
                <w:szCs w:val="44"/>
                <w:lang w:eastAsia="es-ES"/>
              </w:rPr>
              <w:lastRenderedPageBreak/>
              <w:t>Para las instituciones es prioridad garantizar el suministro de agua a la pobla</w:t>
            </w:r>
            <w:r>
              <w:rPr>
                <w:rFonts w:ascii="Arial" w:eastAsia="Arial" w:hAnsi="Arial" w:cs="Arial"/>
                <w:sz w:val="24"/>
                <w:szCs w:val="44"/>
                <w:lang w:eastAsia="es-ES"/>
              </w:rPr>
              <w:t>ción y el abastecimiento al sector agropecuario con el fin de evitar problemas de salud y apoyar el desarrollo del proceso productivo.</w:t>
            </w:r>
          </w:p>
          <w:p w14:paraId="2B1BF56A" w14:textId="77777777" w:rsidR="00000000" w:rsidRDefault="00750C96">
            <w:pPr>
              <w:jc w:val="both"/>
              <w:rPr>
                <w:rFonts w:ascii="Arial" w:eastAsia="Arial" w:hAnsi="Arial" w:cs="Arial"/>
                <w:b/>
                <w:bCs/>
                <w:sz w:val="24"/>
                <w:szCs w:val="44"/>
                <w:lang w:eastAsia="es-ES"/>
              </w:rPr>
            </w:pPr>
            <w:r>
              <w:rPr>
                <w:rFonts w:ascii="Arial" w:eastAsia="Arial" w:hAnsi="Arial" w:cs="Arial"/>
                <w:b/>
                <w:bCs/>
                <w:sz w:val="24"/>
                <w:szCs w:val="44"/>
                <w:lang w:eastAsia="es-ES"/>
              </w:rPr>
              <w:t>Pronóstico IMN</w:t>
            </w:r>
            <w:r>
              <w:rPr>
                <w:rFonts w:ascii="Arial" w:hAnsi="Arial" w:cs="Arial"/>
                <w:bCs/>
                <w:iCs/>
                <w:sz w:val="24"/>
                <w:szCs w:val="24"/>
              </w:rPr>
              <w:t xml:space="preserve"> </w:t>
            </w:r>
          </w:p>
          <w:p w14:paraId="6AA2BD6B" w14:textId="77777777" w:rsidR="00000000" w:rsidRDefault="00750C96">
            <w:pPr>
              <w:jc w:val="both"/>
              <w:rPr>
                <w:rFonts w:ascii="Arial" w:hAnsi="Arial" w:cs="Arial"/>
                <w:bCs/>
                <w:iCs/>
                <w:sz w:val="24"/>
                <w:szCs w:val="24"/>
              </w:rPr>
            </w:pPr>
            <w:r>
              <w:rPr>
                <w:rFonts w:ascii="Arial" w:hAnsi="Arial" w:cs="Arial"/>
                <w:bCs/>
                <w:iCs/>
                <w:sz w:val="24"/>
                <w:szCs w:val="24"/>
              </w:rPr>
              <w:t>Se prevé que continue la temporada seca, que inició en diciembre 2021, hasta el mes de marzo en las regio</w:t>
            </w:r>
            <w:r>
              <w:rPr>
                <w:rFonts w:ascii="Arial" w:hAnsi="Arial" w:cs="Arial"/>
                <w:bCs/>
                <w:iCs/>
                <w:sz w:val="24"/>
                <w:szCs w:val="24"/>
              </w:rPr>
              <w:t>nes del Pacífico y el Valle Central. En el Caribe y la Zona Norte se estima que puedan presentarse algunas lluvias; no obstante, se debe aclarar que los niveles de precipitación en el país durante el tercer mes del año tienden a ser bajos.</w:t>
            </w:r>
          </w:p>
          <w:p w14:paraId="0049B0E1" w14:textId="77777777" w:rsidR="00000000" w:rsidRDefault="00750C96">
            <w:pPr>
              <w:jc w:val="both"/>
              <w:rPr>
                <w:rFonts w:ascii="Arial" w:hAnsi="Arial" w:cs="Arial"/>
                <w:bCs/>
                <w:iCs/>
                <w:sz w:val="24"/>
                <w:szCs w:val="24"/>
              </w:rPr>
            </w:pPr>
            <w:r>
              <w:rPr>
                <w:rFonts w:ascii="Arial" w:hAnsi="Arial" w:cs="Arial"/>
                <w:bCs/>
                <w:iCs/>
                <w:sz w:val="24"/>
                <w:szCs w:val="24"/>
              </w:rPr>
              <w:t>Durante diciembr</w:t>
            </w:r>
            <w:r>
              <w:rPr>
                <w:rFonts w:ascii="Arial" w:hAnsi="Arial" w:cs="Arial"/>
                <w:bCs/>
                <w:iCs/>
                <w:sz w:val="24"/>
                <w:szCs w:val="24"/>
              </w:rPr>
              <w:t>e 2021 y enero 2022, en el Caribe y la Zona Norte se registró una mayor falta de lluvias y para este mes de febrero, si bien se han presentado algunos eventos, las precipitaciones siguen siendo mayoritariamente deficitarias en dichas regiones.</w:t>
            </w:r>
          </w:p>
          <w:p w14:paraId="261356A5" w14:textId="77777777" w:rsidR="00000000" w:rsidRDefault="00750C96">
            <w:pPr>
              <w:jc w:val="both"/>
              <w:rPr>
                <w:rFonts w:ascii="Arial" w:eastAsia="Arial" w:hAnsi="Arial" w:cs="Arial"/>
                <w:sz w:val="24"/>
                <w:szCs w:val="44"/>
                <w:lang w:eastAsia="es-ES"/>
              </w:rPr>
            </w:pPr>
            <w:r>
              <w:rPr>
                <w:rFonts w:ascii="Arial" w:hAnsi="Arial" w:cs="Arial"/>
                <w:bCs/>
                <w:iCs/>
                <w:sz w:val="24"/>
                <w:szCs w:val="24"/>
              </w:rPr>
              <w:t>Las condicio</w:t>
            </w:r>
            <w:r>
              <w:rPr>
                <w:rFonts w:ascii="Arial" w:hAnsi="Arial" w:cs="Arial"/>
                <w:bCs/>
                <w:iCs/>
                <w:sz w:val="24"/>
                <w:szCs w:val="24"/>
              </w:rPr>
              <w:t>nes atmosféricas de los últimos meses han sido producto de un patrón sumamente seco en la región sur de Centroamérica y a lo largo del Mar Caribe, que han propiciado temperaturas bastante calurosas durante el día y bastante frías en las noches y madrugadas</w:t>
            </w:r>
            <w:r>
              <w:rPr>
                <w:rFonts w:ascii="Arial" w:hAnsi="Arial" w:cs="Arial"/>
                <w:bCs/>
                <w:iCs/>
                <w:sz w:val="24"/>
                <w:szCs w:val="24"/>
              </w:rPr>
              <w:t>, incluso en zonas como Liberia y Limón.</w:t>
            </w:r>
          </w:p>
          <w:p w14:paraId="4EEFC68B" w14:textId="77777777" w:rsidR="00000000" w:rsidRDefault="00750C96">
            <w:pPr>
              <w:jc w:val="both"/>
              <w:rPr>
                <w:noProof/>
              </w:rPr>
            </w:pPr>
            <w:r>
              <w:rPr>
                <w:rFonts w:ascii="Arial" w:eastAsia="Arial" w:hAnsi="Arial" w:cs="Arial"/>
                <w:sz w:val="24"/>
                <w:szCs w:val="44"/>
                <w:lang w:eastAsia="es-ES"/>
              </w:rPr>
              <w:t>En conferencia de prensa,</w:t>
            </w:r>
            <w:r>
              <w:rPr>
                <w:rFonts w:ascii="Arial" w:hAnsi="Arial" w:cs="Arial"/>
                <w:bCs/>
                <w:iCs/>
                <w:sz w:val="24"/>
                <w:szCs w:val="24"/>
              </w:rPr>
              <w:t xml:space="preserve"> Eladio Solano León, director a.i. del IMN, indicó que la temporada seca se mantiene sin lluvias, de acuerdo con las condiciones típicas de la época en la Vertiente del Pacífico y Valle Cent</w:t>
            </w:r>
            <w:r>
              <w:rPr>
                <w:rFonts w:ascii="Arial" w:hAnsi="Arial" w:cs="Arial"/>
                <w:bCs/>
                <w:iCs/>
                <w:sz w:val="24"/>
                <w:szCs w:val="24"/>
              </w:rPr>
              <w:t>ral.</w:t>
            </w:r>
            <w:r>
              <w:rPr>
                <w:noProof/>
              </w:rPr>
              <w:t xml:space="preserve"> </w:t>
            </w:r>
          </w:p>
          <w:p w14:paraId="5FA0991D" w14:textId="77777777" w:rsidR="00000000" w:rsidRDefault="00750C96">
            <w:pPr>
              <w:jc w:val="center"/>
              <w:rPr>
                <w:rFonts w:ascii="Arial" w:hAnsi="Arial" w:cs="Arial"/>
                <w:bCs/>
                <w:iCs/>
                <w:sz w:val="24"/>
                <w:szCs w:val="24"/>
              </w:rPr>
            </w:pPr>
          </w:p>
          <w:p w14:paraId="2F1EC67A" w14:textId="77777777" w:rsidR="00000000" w:rsidRDefault="00750C96">
            <w:pPr>
              <w:jc w:val="both"/>
              <w:rPr>
                <w:rFonts w:ascii="Arial" w:eastAsia="Arial" w:hAnsi="Arial" w:cs="Arial"/>
                <w:sz w:val="24"/>
                <w:szCs w:val="44"/>
                <w:lang w:eastAsia="es-ES"/>
              </w:rPr>
            </w:pPr>
            <w:r>
              <w:rPr>
                <w:rFonts w:ascii="Arial" w:eastAsia="Arial" w:hAnsi="Arial" w:cs="Arial"/>
                <w:b/>
                <w:bCs/>
                <w:sz w:val="24"/>
                <w:szCs w:val="44"/>
                <w:lang w:eastAsia="es-ES"/>
              </w:rPr>
              <w:t>Acciones operativas de CNE</w:t>
            </w:r>
            <w:r>
              <w:rPr>
                <w:rFonts w:ascii="Arial" w:eastAsia="Arial" w:hAnsi="Arial" w:cs="Arial"/>
                <w:sz w:val="24"/>
                <w:szCs w:val="44"/>
                <w:lang w:eastAsia="es-ES"/>
              </w:rPr>
              <w:t xml:space="preserve"> </w:t>
            </w:r>
          </w:p>
          <w:p w14:paraId="4AB10119" w14:textId="77777777" w:rsidR="00000000" w:rsidRDefault="00750C96">
            <w:pPr>
              <w:jc w:val="both"/>
              <w:rPr>
                <w:rFonts w:ascii="Arial" w:eastAsia="Arial" w:hAnsi="Arial" w:cs="Arial"/>
                <w:sz w:val="24"/>
                <w:szCs w:val="44"/>
                <w:lang w:eastAsia="es-ES"/>
              </w:rPr>
            </w:pPr>
            <w:r>
              <w:rPr>
                <w:rFonts w:ascii="Arial" w:eastAsia="Arial" w:hAnsi="Arial" w:cs="Arial"/>
                <w:sz w:val="24"/>
                <w:szCs w:val="44"/>
                <w:lang w:eastAsia="es-ES"/>
              </w:rPr>
              <w:t>El presidente de la CNE, Alexander Solís, señaló que mientras se continúa dando seguimiento a las labores para mitigar el contagio por COVID-19, paralelamente se trabajan las acciones para mitigar el impacto de la extensi</w:t>
            </w:r>
            <w:r>
              <w:rPr>
                <w:rFonts w:ascii="Arial" w:eastAsia="Arial" w:hAnsi="Arial" w:cs="Arial"/>
                <w:sz w:val="24"/>
                <w:szCs w:val="44"/>
                <w:lang w:eastAsia="es-ES"/>
              </w:rPr>
              <w:t xml:space="preserve">ón de la estación seca en el territorio nacional que se extenderán hasta finales de marzo. </w:t>
            </w:r>
          </w:p>
          <w:p w14:paraId="03840091" w14:textId="77777777" w:rsidR="00000000" w:rsidRDefault="00750C96">
            <w:pPr>
              <w:jc w:val="center"/>
              <w:rPr>
                <w:rFonts w:ascii="Arial" w:eastAsia="Arial" w:hAnsi="Arial" w:cs="Arial"/>
                <w:sz w:val="24"/>
                <w:szCs w:val="44"/>
                <w:lang w:eastAsia="es-ES"/>
              </w:rPr>
            </w:pPr>
            <w:r>
              <w:rPr>
                <w:rFonts w:ascii="Arial" w:eastAsia="Arial" w:hAnsi="Arial" w:cs="Arial"/>
                <w:sz w:val="24"/>
                <w:szCs w:val="44"/>
                <w:lang w:eastAsia="es-ES"/>
              </w:rPr>
              <w:t>“CNE activó sus instancias operativas y junto a instituciones del Sistema Nacional de Gestión del Riesgo fortalece las herramientas mediante acciones concretas para</w:t>
            </w:r>
            <w:r>
              <w:rPr>
                <w:rFonts w:ascii="Arial" w:eastAsia="Arial" w:hAnsi="Arial" w:cs="Arial"/>
                <w:sz w:val="24"/>
                <w:szCs w:val="44"/>
                <w:lang w:eastAsia="es-ES"/>
              </w:rPr>
              <w:t xml:space="preserve"> provean del líquido vital a las personas y apoyo a diversos sectores como son los agricultores, manifestó el jerarca. </w:t>
            </w:r>
            <w:r>
              <w:rPr>
                <w:noProof/>
              </w:rPr>
              <w:lastRenderedPageBreak/>
              <w:drawing>
                <wp:inline distT="0" distB="0" distL="0" distR="0" wp14:anchorId="06D0FB7F" wp14:editId="1A4CF7A7">
                  <wp:extent cx="6170295" cy="4627880"/>
                  <wp:effectExtent l="0" t="0" r="1905" b="127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295" cy="4627880"/>
                          </a:xfrm>
                          <a:prstGeom prst="rect">
                            <a:avLst/>
                          </a:prstGeom>
                          <a:noFill/>
                          <a:ln>
                            <a:noFill/>
                          </a:ln>
                        </pic:spPr>
                      </pic:pic>
                    </a:graphicData>
                  </a:graphic>
                </wp:inline>
              </w:drawing>
            </w:r>
            <w:r>
              <w:rPr>
                <w:noProof/>
              </w:rPr>
              <w:drawing>
                <wp:inline distT="0" distB="0" distL="0" distR="0" wp14:anchorId="15C58435" wp14:editId="556DA41E">
                  <wp:extent cx="6193790" cy="465137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51375"/>
                          </a:xfrm>
                          <a:prstGeom prst="rect">
                            <a:avLst/>
                          </a:prstGeom>
                          <a:noFill/>
                          <a:ln>
                            <a:noFill/>
                          </a:ln>
                        </pic:spPr>
                      </pic:pic>
                    </a:graphicData>
                  </a:graphic>
                </wp:inline>
              </w:drawing>
            </w:r>
          </w:p>
          <w:p w14:paraId="7A165E0A" w14:textId="77777777" w:rsidR="00000000" w:rsidRDefault="00750C96">
            <w:pPr>
              <w:jc w:val="both"/>
              <w:rPr>
                <w:rFonts w:ascii="Arial" w:eastAsia="Arial" w:hAnsi="Arial" w:cs="Arial"/>
                <w:sz w:val="24"/>
                <w:szCs w:val="44"/>
                <w:lang w:eastAsia="es-ES"/>
              </w:rPr>
            </w:pPr>
            <w:r>
              <w:rPr>
                <w:rFonts w:ascii="Arial" w:eastAsia="Arial" w:hAnsi="Arial" w:cs="Arial"/>
                <w:sz w:val="24"/>
                <w:szCs w:val="44"/>
                <w:lang w:eastAsia="es-ES"/>
              </w:rPr>
              <w:t xml:space="preserve">Como parte de las medidas preventivas, la CNE </w:t>
            </w:r>
            <w:r>
              <w:rPr>
                <w:rFonts w:ascii="Arial" w:hAnsi="Arial" w:cs="Arial"/>
                <w:bCs/>
                <w:iCs/>
                <w:sz w:val="24"/>
                <w:szCs w:val="24"/>
              </w:rPr>
              <w:t xml:space="preserve">destinó más </w:t>
            </w:r>
            <w:r>
              <w:rPr>
                <w:rFonts w:ascii="Arial" w:eastAsia="Arial" w:hAnsi="Arial" w:cs="Arial"/>
                <w:sz w:val="24"/>
                <w:szCs w:val="44"/>
                <w:lang w:eastAsia="es-ES"/>
              </w:rPr>
              <w:t xml:space="preserve">de </w:t>
            </w:r>
            <w:bookmarkStart w:id="0" w:name="_Hlk96675704"/>
            <w:r>
              <w:rPr>
                <w:rFonts w:ascii="Arial" w:eastAsia="Arial" w:hAnsi="Arial" w:cs="Arial"/>
                <w:sz w:val="24"/>
                <w:szCs w:val="44"/>
                <w:lang w:eastAsia="es-ES"/>
              </w:rPr>
              <w:t xml:space="preserve">3 mil 438 millones de colones </w:t>
            </w:r>
            <w:bookmarkEnd w:id="0"/>
            <w:r>
              <w:rPr>
                <w:rFonts w:ascii="Arial" w:eastAsia="Arial" w:hAnsi="Arial" w:cs="Arial"/>
                <w:sz w:val="24"/>
                <w:szCs w:val="44"/>
                <w:lang w:eastAsia="es-ES"/>
              </w:rPr>
              <w:t>durante el periodo 2020-2021 para la agricultura, pecuaria y abastecimiento de agua.</w:t>
            </w:r>
          </w:p>
          <w:p w14:paraId="47229BA5" w14:textId="77777777" w:rsidR="00000000" w:rsidRDefault="00750C96">
            <w:pPr>
              <w:jc w:val="both"/>
              <w:rPr>
                <w:rFonts w:ascii="Arial" w:hAnsi="Arial" w:cs="Arial"/>
                <w:bCs/>
                <w:iCs/>
                <w:sz w:val="24"/>
                <w:szCs w:val="24"/>
              </w:rPr>
            </w:pPr>
            <w:r>
              <w:rPr>
                <w:rFonts w:ascii="Arial" w:hAnsi="Arial" w:cs="Arial"/>
                <w:bCs/>
                <w:iCs/>
                <w:sz w:val="24"/>
                <w:szCs w:val="24"/>
              </w:rPr>
              <w:t>De esta inversión, ¢899 391 450,10 han dotado de insumos como fertilizante granular, palas, abono orgánico, fertilizantes, cal dolomita, cuchillos, serruchos y fungicidas,</w:t>
            </w:r>
            <w:r>
              <w:rPr>
                <w:rFonts w:ascii="Arial" w:hAnsi="Arial" w:cs="Arial"/>
                <w:bCs/>
                <w:iCs/>
                <w:sz w:val="24"/>
                <w:szCs w:val="24"/>
              </w:rPr>
              <w:t xml:space="preserve"> a 763 productores en la Región Central Oriental. </w:t>
            </w:r>
          </w:p>
          <w:p w14:paraId="15B9E615" w14:textId="77777777" w:rsidR="00000000" w:rsidRDefault="00750C96">
            <w:pPr>
              <w:jc w:val="both"/>
              <w:rPr>
                <w:rFonts w:ascii="Arial" w:hAnsi="Arial" w:cs="Arial"/>
                <w:bCs/>
                <w:iCs/>
                <w:sz w:val="24"/>
                <w:szCs w:val="24"/>
              </w:rPr>
            </w:pPr>
            <w:r>
              <w:rPr>
                <w:rFonts w:ascii="Arial" w:hAnsi="Arial" w:cs="Arial"/>
                <w:bCs/>
                <w:iCs/>
                <w:sz w:val="24"/>
                <w:szCs w:val="24"/>
              </w:rPr>
              <w:t xml:space="preserve">La Zona Sur también se vio beneficiada con proyectos para productores de siembra de arroz y frijoles con una inversión de 504 millones de colones. </w:t>
            </w:r>
          </w:p>
          <w:p w14:paraId="17BC5EA4" w14:textId="77777777" w:rsidR="00000000" w:rsidRDefault="00750C96">
            <w:pPr>
              <w:jc w:val="both"/>
              <w:rPr>
                <w:rFonts w:ascii="Arial" w:hAnsi="Arial" w:cs="Arial"/>
                <w:bCs/>
                <w:iCs/>
                <w:sz w:val="24"/>
                <w:szCs w:val="24"/>
              </w:rPr>
            </w:pPr>
            <w:r>
              <w:rPr>
                <w:rFonts w:ascii="Arial" w:hAnsi="Arial" w:cs="Arial"/>
                <w:bCs/>
                <w:iCs/>
                <w:sz w:val="24"/>
                <w:szCs w:val="24"/>
              </w:rPr>
              <w:t>En el cantón de Coto Brus, se entregó fertilizantes y sem</w:t>
            </w:r>
            <w:r>
              <w:rPr>
                <w:rFonts w:ascii="Arial" w:hAnsi="Arial" w:cs="Arial"/>
                <w:bCs/>
                <w:iCs/>
                <w:sz w:val="24"/>
                <w:szCs w:val="24"/>
              </w:rPr>
              <w:t>illas de frijol a 200 productores de la zona. Igualmente 1 036 productores de Pérez Zeledón, Buenos Aires, Coto Brus y Osa recibieron fertilizantes, semillas de frijoles, así como semillas de arroz.</w:t>
            </w:r>
          </w:p>
          <w:p w14:paraId="30877718" w14:textId="77777777" w:rsidR="00000000" w:rsidRDefault="00750C96">
            <w:pPr>
              <w:jc w:val="both"/>
              <w:rPr>
                <w:rFonts w:ascii="Arial" w:hAnsi="Arial" w:cs="Arial"/>
                <w:bCs/>
                <w:iCs/>
                <w:sz w:val="24"/>
                <w:szCs w:val="24"/>
              </w:rPr>
            </w:pPr>
            <w:r>
              <w:rPr>
                <w:rFonts w:ascii="Arial" w:hAnsi="Arial" w:cs="Arial"/>
                <w:bCs/>
                <w:iCs/>
                <w:sz w:val="24"/>
                <w:szCs w:val="24"/>
              </w:rPr>
              <w:t>El sector pecuario, por su parte, abasteció a 230 persona</w:t>
            </w:r>
            <w:r>
              <w:rPr>
                <w:rFonts w:ascii="Arial" w:hAnsi="Arial" w:cs="Arial"/>
                <w:bCs/>
                <w:iCs/>
                <w:sz w:val="24"/>
                <w:szCs w:val="24"/>
              </w:rPr>
              <w:t>s con suministros y equipo para la rehabilitación de la producción lechera, cría-carne y doble propósitos del cantón de Turrialba con un monto de ¢1 025 000 000,00.  Algunos de estos insumos entregados son cercas eléctricas, inyector de sales minerales, pl</w:t>
            </w:r>
            <w:r>
              <w:rPr>
                <w:rFonts w:ascii="Arial" w:hAnsi="Arial" w:cs="Arial"/>
                <w:bCs/>
                <w:iCs/>
                <w:sz w:val="24"/>
                <w:szCs w:val="24"/>
              </w:rPr>
              <w:t>ástico para invernadero, comedero para ganados, entre otros.</w:t>
            </w:r>
          </w:p>
          <w:p w14:paraId="57F0B26D" w14:textId="77777777" w:rsidR="00000000" w:rsidRDefault="00750C96">
            <w:pPr>
              <w:jc w:val="both"/>
              <w:rPr>
                <w:rFonts w:ascii="Arial" w:hAnsi="Arial" w:cs="Arial"/>
                <w:bCs/>
                <w:iCs/>
                <w:sz w:val="24"/>
                <w:szCs w:val="24"/>
              </w:rPr>
            </w:pPr>
            <w:r>
              <w:rPr>
                <w:rFonts w:ascii="Arial" w:hAnsi="Arial" w:cs="Arial"/>
                <w:bCs/>
                <w:iCs/>
                <w:sz w:val="24"/>
                <w:szCs w:val="24"/>
              </w:rPr>
              <w:t>Asimismo, se realizaron proyectos de reconstrucción de obras de toma y reinyección de agua al proyecto de riego Miravalles con una inversión de ¢203 098 346,50, con el fin de fortalecer el abaste</w:t>
            </w:r>
            <w:r>
              <w:rPr>
                <w:rFonts w:ascii="Arial" w:hAnsi="Arial" w:cs="Arial"/>
                <w:bCs/>
                <w:iCs/>
                <w:sz w:val="24"/>
                <w:szCs w:val="24"/>
              </w:rPr>
              <w:t xml:space="preserve">cimiento de agua en las actividades agrícolas de más de 200 productores durante la época seca. </w:t>
            </w:r>
          </w:p>
          <w:p w14:paraId="47F9F037" w14:textId="77777777" w:rsidR="00000000" w:rsidRDefault="00750C96">
            <w:pPr>
              <w:jc w:val="both"/>
              <w:rPr>
                <w:rFonts w:ascii="Arial" w:hAnsi="Arial" w:cs="Arial"/>
                <w:bCs/>
                <w:iCs/>
                <w:sz w:val="24"/>
                <w:szCs w:val="24"/>
              </w:rPr>
            </w:pPr>
            <w:r>
              <w:rPr>
                <w:rFonts w:ascii="Arial" w:hAnsi="Arial" w:cs="Arial"/>
                <w:bCs/>
                <w:iCs/>
                <w:sz w:val="24"/>
                <w:szCs w:val="24"/>
              </w:rPr>
              <w:t>Además, se están realizando proyectos para el fortalecimiento del recurso hídrico en 32 ASADAS de los cantones de Osa, Buenos Aires, Golfito y Coto Brus con una</w:t>
            </w:r>
            <w:r>
              <w:rPr>
                <w:rFonts w:ascii="Arial" w:hAnsi="Arial" w:cs="Arial"/>
                <w:bCs/>
                <w:iCs/>
                <w:sz w:val="24"/>
                <w:szCs w:val="24"/>
              </w:rPr>
              <w:t xml:space="preserve"> inversión total de </w:t>
            </w:r>
            <w:r>
              <w:rPr>
                <w:rFonts w:ascii="Arial" w:hAnsi="Arial" w:cs="Arial"/>
                <w:bCs/>
                <w:iCs/>
                <w:sz w:val="24"/>
                <w:szCs w:val="24"/>
              </w:rPr>
              <w:t>₡</w:t>
            </w:r>
            <w:r>
              <w:rPr>
                <w:rFonts w:ascii="Arial" w:hAnsi="Arial" w:cs="Arial"/>
                <w:bCs/>
                <w:iCs/>
                <w:sz w:val="24"/>
                <w:szCs w:val="24"/>
              </w:rPr>
              <w:t>625,123,837 que forman parte de los recursos traslados por JUDESUR al Fondo Nacional de Emergencias. Estos proyectos estarán beneficiando más de 13 mil personas.</w:t>
            </w:r>
          </w:p>
          <w:p w14:paraId="5A81480B" w14:textId="77777777" w:rsidR="00000000" w:rsidRDefault="00750C96">
            <w:pPr>
              <w:jc w:val="both"/>
              <w:rPr>
                <w:rFonts w:ascii="Arial" w:eastAsia="Arial" w:hAnsi="Arial" w:cs="Arial"/>
                <w:sz w:val="24"/>
                <w:szCs w:val="44"/>
                <w:lang w:eastAsia="es-ES"/>
              </w:rPr>
            </w:pPr>
            <w:r>
              <w:rPr>
                <w:rFonts w:ascii="Arial" w:eastAsia="Arial" w:hAnsi="Arial" w:cs="Arial"/>
                <w:sz w:val="24"/>
                <w:szCs w:val="44"/>
                <w:lang w:eastAsia="es-ES"/>
              </w:rPr>
              <w:t xml:space="preserve">Con una inversión de </w:t>
            </w:r>
            <w:r>
              <w:rPr>
                <w:rFonts w:ascii="Arial" w:eastAsia="Arial" w:hAnsi="Arial" w:cs="Arial"/>
                <w:sz w:val="24"/>
                <w:szCs w:val="44"/>
                <w:lang w:eastAsia="es-ES"/>
              </w:rPr>
              <w:t>₡</w:t>
            </w:r>
            <w:r>
              <w:rPr>
                <w:rFonts w:ascii="Arial" w:eastAsia="Arial" w:hAnsi="Arial" w:cs="Arial"/>
                <w:sz w:val="24"/>
                <w:szCs w:val="44"/>
                <w:lang w:eastAsia="es-ES"/>
              </w:rPr>
              <w:t>182.181.408,05, se compraron un total de 409 tanque</w:t>
            </w:r>
            <w:r>
              <w:rPr>
                <w:rFonts w:ascii="Arial" w:eastAsia="Arial" w:hAnsi="Arial" w:cs="Arial"/>
                <w:sz w:val="24"/>
                <w:szCs w:val="44"/>
                <w:lang w:eastAsia="es-ES"/>
              </w:rPr>
              <w:t>s de abastecimiento de agua que fueron distribuidos centros educativos, a Acueductos y Alcantarillados para el abastecimiento de agua potable en 107 comunidades; Comités Municipales de Emergencias e instituciones del Sistema Nacional de Gestión de Riesgos.</w:t>
            </w:r>
          </w:p>
          <w:p w14:paraId="2CB5B493" w14:textId="77777777" w:rsidR="00000000" w:rsidRDefault="00750C96">
            <w:pPr>
              <w:pStyle w:val="Prrafodelista"/>
              <w:ind w:left="0"/>
              <w:jc w:val="both"/>
              <w:rPr>
                <w:rFonts w:ascii="Arial" w:hAnsi="Arial" w:cs="Arial"/>
                <w:b/>
                <w:bCs/>
                <w:sz w:val="24"/>
                <w:szCs w:val="24"/>
                <w:lang w:val="es-ES_tradnl"/>
              </w:rPr>
            </w:pPr>
          </w:p>
          <w:p w14:paraId="51DD386E" w14:textId="77777777" w:rsidR="00000000" w:rsidRDefault="00750C96">
            <w:pPr>
              <w:pStyle w:val="Prrafodelista"/>
              <w:ind w:left="0"/>
              <w:jc w:val="both"/>
              <w:rPr>
                <w:rFonts w:ascii="Arial" w:hAnsi="Arial" w:cs="Arial"/>
                <w:b/>
                <w:bCs/>
                <w:sz w:val="24"/>
                <w:szCs w:val="24"/>
                <w:lang w:val="es-ES_tradnl"/>
              </w:rPr>
            </w:pPr>
            <w:r>
              <w:rPr>
                <w:rFonts w:ascii="Arial" w:hAnsi="Arial" w:cs="Arial"/>
                <w:b/>
                <w:bCs/>
                <w:sz w:val="24"/>
                <w:szCs w:val="24"/>
                <w:lang w:val="es-ES_tradnl"/>
              </w:rPr>
              <w:t>AyA refuerza acciones para brindar servicio continuo</w:t>
            </w:r>
          </w:p>
          <w:p w14:paraId="2ECAA350" w14:textId="77777777" w:rsidR="00000000" w:rsidRDefault="00750C96">
            <w:pPr>
              <w:pStyle w:val="Prrafodelista"/>
              <w:ind w:left="0"/>
              <w:jc w:val="both"/>
              <w:rPr>
                <w:rFonts w:ascii="Arial" w:hAnsi="Arial" w:cs="Arial"/>
                <w:sz w:val="24"/>
                <w:szCs w:val="24"/>
                <w:lang w:val="es-ES_tradnl"/>
              </w:rPr>
            </w:pPr>
          </w:p>
          <w:p w14:paraId="2EE7F540" w14:textId="77777777" w:rsidR="00000000" w:rsidRDefault="00750C96">
            <w:pPr>
              <w:pStyle w:val="Prrafodelista"/>
              <w:ind w:left="0"/>
              <w:jc w:val="both"/>
              <w:rPr>
                <w:rFonts w:ascii="Arial" w:hAnsi="Arial" w:cs="Arial"/>
                <w:sz w:val="24"/>
                <w:szCs w:val="24"/>
                <w:lang w:val="es-ES_tradnl"/>
              </w:rPr>
            </w:pPr>
            <w:r>
              <w:rPr>
                <w:rFonts w:ascii="Arial" w:hAnsi="Arial" w:cs="Arial"/>
                <w:sz w:val="24"/>
                <w:szCs w:val="24"/>
                <w:lang w:val="es-ES_tradnl"/>
              </w:rPr>
              <w:t xml:space="preserve">El AyA, dentro su cartera de proyectos para prevención </w:t>
            </w:r>
            <w:r>
              <w:rPr>
                <w:rFonts w:ascii="Arial" w:hAnsi="Arial" w:cs="Arial"/>
                <w:sz w:val="24"/>
                <w:szCs w:val="24"/>
                <w:lang w:val="es-ES_tradnl"/>
              </w:rPr>
              <w:t xml:space="preserve">del déficit hídrico de este 2022, logró ejecutar la instalación de dos tuberías cuyos resultados ya están siendo palpables en la continuidad del servicio.  </w:t>
            </w:r>
          </w:p>
          <w:p w14:paraId="13B87324" w14:textId="77777777" w:rsidR="00000000" w:rsidRDefault="00750C96">
            <w:pPr>
              <w:pStyle w:val="Prrafodelista"/>
              <w:ind w:left="0"/>
              <w:jc w:val="both"/>
              <w:rPr>
                <w:rFonts w:ascii="Arial" w:hAnsi="Arial" w:cs="Arial"/>
                <w:sz w:val="24"/>
                <w:szCs w:val="24"/>
                <w:lang w:val="es-ES_tradnl"/>
              </w:rPr>
            </w:pPr>
          </w:p>
          <w:p w14:paraId="2625EC38" w14:textId="77777777" w:rsidR="00000000" w:rsidRDefault="00750C96">
            <w:pPr>
              <w:pStyle w:val="Prrafodelista"/>
              <w:ind w:left="0"/>
              <w:jc w:val="both"/>
              <w:rPr>
                <w:rFonts w:ascii="Arial" w:hAnsi="Arial" w:cs="Arial"/>
                <w:sz w:val="24"/>
                <w:szCs w:val="24"/>
                <w:lang w:val="es-ES_tradnl"/>
              </w:rPr>
            </w:pPr>
            <w:r>
              <w:rPr>
                <w:rFonts w:ascii="Arial" w:hAnsi="Arial" w:cs="Arial"/>
                <w:sz w:val="24"/>
                <w:szCs w:val="24"/>
                <w:lang w:val="es-ES_tradnl"/>
              </w:rPr>
              <w:t>Se construyó una nueva línea de 1,7 kilómetros de longitud capaz de transportar cerca de 220 litro</w:t>
            </w:r>
            <w:r>
              <w:rPr>
                <w:rFonts w:ascii="Arial" w:hAnsi="Arial" w:cs="Arial"/>
                <w:sz w:val="24"/>
                <w:szCs w:val="24"/>
                <w:lang w:val="es-ES_tradnl"/>
              </w:rPr>
              <w:t>s de agua por segundo, desde el campo de pozos La Valencia hasta el tanque de la Uruca. Esta mejora, junto a la incorporación de un nuevo pozo, agregó al sistema 125 litros de agua por segundo, contribuyendo a un mejor abastecimiento en: Pavas, Mata Redond</w:t>
            </w:r>
            <w:r>
              <w:rPr>
                <w:rFonts w:ascii="Arial" w:hAnsi="Arial" w:cs="Arial"/>
                <w:sz w:val="24"/>
                <w:szCs w:val="24"/>
                <w:lang w:val="es-ES_tradnl"/>
              </w:rPr>
              <w:t>a, San José Centro, Paseo Colón, Sabana, Hatillos y San Sebastián.</w:t>
            </w:r>
          </w:p>
          <w:p w14:paraId="17E3E668" w14:textId="77777777" w:rsidR="00000000" w:rsidRDefault="00750C96">
            <w:pPr>
              <w:pStyle w:val="Prrafodelista"/>
              <w:ind w:left="0"/>
              <w:jc w:val="center"/>
              <w:rPr>
                <w:rFonts w:ascii="Arial" w:hAnsi="Arial" w:cs="Arial"/>
                <w:sz w:val="24"/>
                <w:szCs w:val="24"/>
                <w:lang w:val="es-ES_tradnl"/>
              </w:rPr>
            </w:pPr>
            <w:r>
              <w:rPr>
                <w:noProof/>
              </w:rPr>
              <w:drawing>
                <wp:inline distT="0" distB="0" distL="0" distR="0" wp14:anchorId="6A3DFBF2" wp14:editId="66F76614">
                  <wp:extent cx="6114415" cy="4587875"/>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inline>
              </w:drawing>
            </w:r>
          </w:p>
          <w:p w14:paraId="1D0AD0E4" w14:textId="77777777" w:rsidR="00000000" w:rsidRDefault="00750C96">
            <w:pPr>
              <w:pStyle w:val="Prrafodelista"/>
              <w:ind w:left="0"/>
              <w:jc w:val="both"/>
              <w:rPr>
                <w:rFonts w:ascii="Arial" w:hAnsi="Arial" w:cs="Arial"/>
                <w:sz w:val="24"/>
                <w:szCs w:val="24"/>
                <w:lang w:val="es-ES_tradnl"/>
              </w:rPr>
            </w:pPr>
            <w:r>
              <w:rPr>
                <w:rFonts w:ascii="Arial" w:hAnsi="Arial" w:cs="Arial"/>
                <w:sz w:val="24"/>
                <w:szCs w:val="24"/>
                <w:lang w:val="es-ES_tradnl"/>
              </w:rPr>
              <w:t xml:space="preserve">Además, se logró completar la instalación de otra tubería de 2.3 kilómetros entre el sector de Rancho Guanacaste y Paso Ancho, lo que permitirá interconectar dos sistemas para distribuir </w:t>
            </w:r>
            <w:r>
              <w:rPr>
                <w:rFonts w:ascii="Arial" w:hAnsi="Arial" w:cs="Arial"/>
                <w:sz w:val="24"/>
                <w:szCs w:val="24"/>
                <w:lang w:val="es-ES_tradnl"/>
              </w:rPr>
              <w:t>mejor el recurso hídrico.</w:t>
            </w:r>
          </w:p>
          <w:p w14:paraId="42FC7BA4" w14:textId="77777777" w:rsidR="00000000" w:rsidRDefault="00750C96">
            <w:pPr>
              <w:pStyle w:val="Prrafodelista"/>
              <w:ind w:left="0"/>
              <w:jc w:val="both"/>
              <w:rPr>
                <w:rFonts w:ascii="Arial" w:hAnsi="Arial" w:cs="Arial"/>
                <w:sz w:val="24"/>
                <w:szCs w:val="24"/>
                <w:lang w:val="es-ES_tradnl"/>
              </w:rPr>
            </w:pPr>
            <w:r>
              <w:rPr>
                <w:rFonts w:ascii="Arial" w:hAnsi="Arial" w:cs="Arial"/>
                <w:bCs/>
                <w:iCs/>
                <w:sz w:val="24"/>
                <w:szCs w:val="24"/>
              </w:rPr>
              <w:t xml:space="preserve">Otros sectores que se verán beneficiados gracias a la redistribución de 90 litros por segundo en el sistema de Tres Ríos son: </w:t>
            </w:r>
            <w:r>
              <w:rPr>
                <w:rFonts w:ascii="Arial" w:hAnsi="Arial" w:cs="Arial"/>
                <w:sz w:val="24"/>
                <w:szCs w:val="24"/>
                <w:lang w:val="es-ES_tradnl"/>
              </w:rPr>
              <w:t>Barrio Escalante, San Pedro de Montes de Oca, Sabanilla y Curridabat.</w:t>
            </w:r>
            <w:r>
              <w:rPr>
                <w:noProof/>
                <w:lang w:val="es-ES_tradnl"/>
              </w:rPr>
              <w:t xml:space="preserve"> </w:t>
            </w:r>
          </w:p>
          <w:p w14:paraId="6B2020FC" w14:textId="77777777" w:rsidR="00000000" w:rsidRDefault="00750C96">
            <w:pPr>
              <w:pStyle w:val="Prrafodelista"/>
              <w:ind w:left="0"/>
              <w:jc w:val="both"/>
              <w:rPr>
                <w:rFonts w:ascii="Arial" w:hAnsi="Arial" w:cs="Arial"/>
                <w:sz w:val="24"/>
                <w:szCs w:val="24"/>
                <w:lang w:val="es-ES_tradnl"/>
              </w:rPr>
            </w:pPr>
          </w:p>
          <w:p w14:paraId="4A9E5EA7" w14:textId="77777777" w:rsidR="00000000" w:rsidRDefault="00750C96">
            <w:pPr>
              <w:pStyle w:val="Prrafodelista"/>
              <w:ind w:left="0"/>
              <w:jc w:val="both"/>
              <w:rPr>
                <w:rFonts w:ascii="Arial" w:hAnsi="Arial" w:cs="Arial"/>
                <w:sz w:val="24"/>
                <w:szCs w:val="24"/>
                <w:lang w:val="es-ES_tradnl"/>
              </w:rPr>
            </w:pPr>
            <w:r>
              <w:rPr>
                <w:rFonts w:ascii="Arial" w:hAnsi="Arial" w:cs="Arial"/>
                <w:bCs/>
                <w:iCs/>
                <w:sz w:val="24"/>
                <w:szCs w:val="24"/>
              </w:rPr>
              <w:t>“Cerca del 94% de la población a</w:t>
            </w:r>
            <w:r>
              <w:rPr>
                <w:rFonts w:ascii="Arial" w:hAnsi="Arial" w:cs="Arial"/>
                <w:bCs/>
                <w:iCs/>
                <w:sz w:val="24"/>
                <w:szCs w:val="24"/>
              </w:rPr>
              <w:t xml:space="preserve"> la que el AyA le suministra el servicio en la Gran Área Metropolitana (GAM) podrá contar con un servicio continuo. Esto demuestra nuestro esfuerzo permanente para ofrecer soluciones en las zonas más altas que, por su topografía, son más vulnerables a los </w:t>
            </w:r>
            <w:r>
              <w:rPr>
                <w:rFonts w:ascii="Arial" w:hAnsi="Arial" w:cs="Arial"/>
                <w:bCs/>
                <w:iCs/>
                <w:sz w:val="24"/>
                <w:szCs w:val="24"/>
              </w:rPr>
              <w:t xml:space="preserve">desabastecimientos”, explicó Tomás Martínez Baldares, presidente ejecutivo de AyA. </w:t>
            </w:r>
          </w:p>
          <w:p w14:paraId="38A2174B" w14:textId="77777777" w:rsidR="00000000" w:rsidRDefault="00750C96">
            <w:pPr>
              <w:pStyle w:val="Prrafodelista"/>
              <w:ind w:left="0"/>
              <w:jc w:val="both"/>
              <w:rPr>
                <w:rFonts w:ascii="Arial" w:hAnsi="Arial" w:cs="Arial"/>
                <w:sz w:val="24"/>
                <w:szCs w:val="24"/>
                <w:lang w:val="es-ES_tradnl"/>
              </w:rPr>
            </w:pPr>
          </w:p>
          <w:p w14:paraId="3D645DEE" w14:textId="77777777" w:rsidR="00000000" w:rsidRDefault="00750C96">
            <w:pPr>
              <w:pStyle w:val="Prrafodelista"/>
              <w:ind w:left="0"/>
              <w:jc w:val="both"/>
              <w:rPr>
                <w:rFonts w:ascii="Arial" w:hAnsi="Arial" w:cs="Arial"/>
                <w:sz w:val="24"/>
                <w:szCs w:val="24"/>
                <w:lang w:val="es-ES_tradnl"/>
              </w:rPr>
            </w:pPr>
            <w:r>
              <w:rPr>
                <w:rFonts w:ascii="Arial" w:hAnsi="Arial" w:cs="Arial"/>
                <w:sz w:val="24"/>
                <w:szCs w:val="24"/>
                <w:lang w:val="es-ES_tradnl"/>
              </w:rPr>
              <w:t>En el segundo trimestre de este año iniciará la construcción de otra nueva línea que conectará la estación de bombeo de Puente Mulas con la de Santa Ana, aumentando la can</w:t>
            </w:r>
            <w:r>
              <w:rPr>
                <w:rFonts w:ascii="Arial" w:hAnsi="Arial" w:cs="Arial"/>
                <w:sz w:val="24"/>
                <w:szCs w:val="24"/>
                <w:lang w:val="es-ES_tradnl"/>
              </w:rPr>
              <w:t xml:space="preserve">tidad de agua que se distribuye en Alajuelita centro, el Llano y San Juan de Dios de Desamparados.  </w:t>
            </w:r>
          </w:p>
          <w:p w14:paraId="4E744A74" w14:textId="77777777" w:rsidR="00000000" w:rsidRDefault="00750C96">
            <w:pPr>
              <w:pStyle w:val="Prrafodelista"/>
              <w:ind w:left="0"/>
              <w:jc w:val="both"/>
              <w:rPr>
                <w:rFonts w:ascii="Arial" w:hAnsi="Arial" w:cs="Arial"/>
                <w:sz w:val="24"/>
                <w:szCs w:val="24"/>
                <w:lang w:val="es-ES_tradnl"/>
              </w:rPr>
            </w:pPr>
          </w:p>
          <w:p w14:paraId="5E59198F" w14:textId="77777777" w:rsidR="00000000" w:rsidRDefault="00750C96">
            <w:pPr>
              <w:pStyle w:val="Prrafodelista"/>
              <w:ind w:left="0"/>
              <w:jc w:val="both"/>
              <w:rPr>
                <w:rFonts w:ascii="Arial" w:hAnsi="Arial" w:cs="Arial"/>
                <w:bCs/>
                <w:iCs/>
                <w:sz w:val="24"/>
                <w:szCs w:val="24"/>
              </w:rPr>
            </w:pPr>
            <w:r>
              <w:rPr>
                <w:rFonts w:ascii="Arial" w:hAnsi="Arial" w:cs="Arial"/>
                <w:sz w:val="24"/>
                <w:szCs w:val="24"/>
                <w:lang w:val="es-ES_tradnl"/>
              </w:rPr>
              <w:t xml:space="preserve">También está en construcción una nueva toma de agua sobre el río Agrá, un desarenador y una estación de rebombeo que le aumentará 30 litros por segundo a </w:t>
            </w:r>
            <w:r>
              <w:rPr>
                <w:rFonts w:ascii="Arial" w:hAnsi="Arial" w:cs="Arial"/>
                <w:sz w:val="24"/>
                <w:szCs w:val="24"/>
                <w:lang w:val="es-ES_tradnl"/>
              </w:rPr>
              <w:t xml:space="preserve">la planta potabilizadora de San Jerónimo de Moravia. Este proyecto finalizará en el 2023. </w:t>
            </w:r>
          </w:p>
          <w:p w14:paraId="1B365F7D" w14:textId="77777777" w:rsidR="00000000" w:rsidRDefault="00750C96">
            <w:pPr>
              <w:pStyle w:val="Prrafodelista"/>
              <w:ind w:left="0"/>
              <w:jc w:val="both"/>
              <w:rPr>
                <w:rFonts w:ascii="Arial" w:hAnsi="Arial" w:cs="Arial"/>
                <w:bCs/>
                <w:iCs/>
                <w:sz w:val="24"/>
                <w:szCs w:val="24"/>
              </w:rPr>
            </w:pPr>
          </w:p>
          <w:p w14:paraId="0FF9FE67" w14:textId="77777777" w:rsidR="00000000" w:rsidRDefault="00750C96">
            <w:pPr>
              <w:pStyle w:val="Prrafodelista"/>
              <w:ind w:left="0"/>
              <w:jc w:val="both"/>
              <w:rPr>
                <w:rFonts w:ascii="Arial" w:hAnsi="Arial" w:cs="Arial"/>
                <w:bCs/>
                <w:iCs/>
                <w:sz w:val="24"/>
                <w:szCs w:val="24"/>
              </w:rPr>
            </w:pPr>
            <w:r>
              <w:rPr>
                <w:rFonts w:ascii="Arial" w:hAnsi="Arial" w:cs="Arial"/>
                <w:bCs/>
                <w:iCs/>
                <w:sz w:val="24"/>
                <w:szCs w:val="24"/>
              </w:rPr>
              <w:t>Cabe destacar que, para este año, AyA beneficiará a más de 148.000 personas con la entrada en funcionamiento diez nuevos proyectos en los cantones de Cañas, Bagaces</w:t>
            </w:r>
            <w:r>
              <w:rPr>
                <w:rFonts w:ascii="Arial" w:hAnsi="Arial" w:cs="Arial"/>
                <w:bCs/>
                <w:iCs/>
                <w:sz w:val="24"/>
                <w:szCs w:val="24"/>
              </w:rPr>
              <w:t xml:space="preserve">, San Carlos, Sarapiquí, Limón, Talamanca, Alajuelita, Puriscal y Corredores. Estas obras representan una inversión que supera los </w:t>
            </w:r>
            <w:r>
              <w:rPr>
                <w:rFonts w:ascii="Arial" w:hAnsi="Arial" w:cs="Arial"/>
                <w:bCs/>
                <w:iCs/>
                <w:sz w:val="24"/>
                <w:szCs w:val="24"/>
              </w:rPr>
              <w:t>₡</w:t>
            </w:r>
            <w:r>
              <w:rPr>
                <w:rFonts w:ascii="Arial" w:hAnsi="Arial" w:cs="Arial"/>
                <w:bCs/>
                <w:iCs/>
                <w:sz w:val="24"/>
                <w:szCs w:val="24"/>
              </w:rPr>
              <w:t xml:space="preserve">36.446 millones de colones. </w:t>
            </w:r>
          </w:p>
          <w:p w14:paraId="04A16D8B" w14:textId="77777777" w:rsidR="00000000" w:rsidRDefault="00750C96">
            <w:pPr>
              <w:pStyle w:val="Prrafodelista"/>
              <w:ind w:left="0"/>
              <w:jc w:val="both"/>
              <w:rPr>
                <w:rFonts w:ascii="Arial" w:hAnsi="Arial" w:cs="Arial"/>
                <w:bCs/>
                <w:iCs/>
                <w:sz w:val="24"/>
                <w:szCs w:val="24"/>
              </w:rPr>
            </w:pPr>
          </w:p>
          <w:p w14:paraId="3FF422D8" w14:textId="77777777" w:rsidR="00000000" w:rsidRDefault="00750C96">
            <w:pPr>
              <w:pStyle w:val="Prrafodelista"/>
              <w:ind w:left="0"/>
              <w:jc w:val="both"/>
              <w:rPr>
                <w:rFonts w:ascii="Arial" w:hAnsi="Arial" w:cs="Arial"/>
                <w:bCs/>
                <w:iCs/>
                <w:sz w:val="24"/>
                <w:szCs w:val="24"/>
              </w:rPr>
            </w:pPr>
            <w:r>
              <w:rPr>
                <w:rFonts w:ascii="Arial" w:hAnsi="Arial" w:cs="Arial"/>
                <w:bCs/>
                <w:iCs/>
                <w:sz w:val="24"/>
                <w:szCs w:val="24"/>
              </w:rPr>
              <w:t>La institución recomienda a la población utilizar el recurso hídrico de forma consciente y evi</w:t>
            </w:r>
            <w:r>
              <w:rPr>
                <w:rFonts w:ascii="Arial" w:hAnsi="Arial" w:cs="Arial"/>
                <w:bCs/>
                <w:iCs/>
                <w:sz w:val="24"/>
                <w:szCs w:val="24"/>
              </w:rPr>
              <w:t xml:space="preserve">tar el desperdicio, para así mantener un equilibrio en el suministro de agua y conseguir la meta de un 100% de abastecimiento.  </w:t>
            </w:r>
          </w:p>
          <w:p w14:paraId="13E99EE6" w14:textId="77777777" w:rsidR="00000000" w:rsidRDefault="00750C96">
            <w:pPr>
              <w:pStyle w:val="Prrafodelista"/>
              <w:ind w:left="0"/>
              <w:jc w:val="both"/>
              <w:rPr>
                <w:rFonts w:ascii="Arial" w:hAnsi="Arial" w:cs="Arial"/>
                <w:b/>
                <w:iCs/>
                <w:sz w:val="24"/>
                <w:szCs w:val="24"/>
              </w:rPr>
            </w:pPr>
          </w:p>
          <w:p w14:paraId="04819CA6" w14:textId="77777777" w:rsidR="00000000" w:rsidRDefault="00750C96">
            <w:pPr>
              <w:pStyle w:val="Prrafodelista"/>
              <w:ind w:left="0"/>
              <w:jc w:val="both"/>
              <w:rPr>
                <w:rFonts w:ascii="Arial" w:hAnsi="Arial" w:cs="Arial"/>
                <w:bCs/>
                <w:iCs/>
                <w:sz w:val="24"/>
                <w:szCs w:val="24"/>
              </w:rPr>
            </w:pPr>
            <w:r>
              <w:rPr>
                <w:rFonts w:ascii="Arial" w:hAnsi="Arial" w:cs="Arial"/>
                <w:b/>
                <w:iCs/>
                <w:sz w:val="24"/>
                <w:szCs w:val="24"/>
              </w:rPr>
              <w:t>Acciones del MAG</w:t>
            </w:r>
          </w:p>
          <w:p w14:paraId="7B633D87" w14:textId="77777777" w:rsidR="00000000" w:rsidRDefault="00750C96">
            <w:pPr>
              <w:jc w:val="both"/>
              <w:rPr>
                <w:rFonts w:ascii="Arial" w:hAnsi="Arial" w:cs="Arial"/>
                <w:bCs/>
                <w:iCs/>
                <w:sz w:val="24"/>
                <w:szCs w:val="24"/>
              </w:rPr>
            </w:pPr>
            <w:r>
              <w:rPr>
                <w:rFonts w:ascii="Arial" w:hAnsi="Arial" w:cs="Arial"/>
                <w:bCs/>
                <w:iCs/>
                <w:sz w:val="24"/>
                <w:szCs w:val="24"/>
              </w:rPr>
              <w:t>Con la ejecución de la Estrategia Nacional de Ganadería Baja en Carbono, del programa de horticultura en Guan</w:t>
            </w:r>
            <w:r>
              <w:rPr>
                <w:rFonts w:ascii="Arial" w:hAnsi="Arial" w:cs="Arial"/>
                <w:bCs/>
                <w:iCs/>
                <w:sz w:val="24"/>
                <w:szCs w:val="24"/>
              </w:rPr>
              <w:t xml:space="preserve">acaste y de las Acciones de Mitigación Nacionalmente Apropiadas (NAMAs) Ganadería y Café, el MAG suma cerca de 2.000 fincas adaptadas a las condiciones de cambio climático y producción en ambientes con déficit hídrico. </w:t>
            </w:r>
          </w:p>
          <w:p w14:paraId="293C7136" w14:textId="77777777" w:rsidR="00000000" w:rsidRDefault="00750C96">
            <w:pPr>
              <w:jc w:val="center"/>
              <w:rPr>
                <w:rFonts w:ascii="Arial" w:hAnsi="Arial" w:cs="Arial"/>
                <w:bCs/>
                <w:iCs/>
                <w:sz w:val="24"/>
                <w:szCs w:val="24"/>
              </w:rPr>
            </w:pPr>
            <w:r>
              <w:rPr>
                <w:rFonts w:ascii="Arial" w:hAnsi="Arial" w:cs="Arial"/>
                <w:noProof/>
                <w:sz w:val="24"/>
                <w:szCs w:val="24"/>
              </w:rPr>
              <w:drawing>
                <wp:inline distT="0" distB="0" distL="0" distR="0" wp14:anchorId="3C13EE13" wp14:editId="63A11C74">
                  <wp:extent cx="6098540" cy="457200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0ECFE030" w14:textId="77777777" w:rsidR="00000000" w:rsidRDefault="00750C96">
            <w:pPr>
              <w:jc w:val="both"/>
              <w:rPr>
                <w:rFonts w:ascii="Arial" w:hAnsi="Arial" w:cs="Arial"/>
                <w:bCs/>
                <w:iCs/>
                <w:sz w:val="24"/>
                <w:szCs w:val="24"/>
              </w:rPr>
            </w:pPr>
          </w:p>
          <w:p w14:paraId="57D8546C" w14:textId="77777777" w:rsidR="00000000" w:rsidRDefault="00750C96">
            <w:pPr>
              <w:jc w:val="both"/>
              <w:rPr>
                <w:rFonts w:ascii="Arial" w:hAnsi="Arial" w:cs="Arial"/>
                <w:bCs/>
                <w:iCs/>
                <w:sz w:val="24"/>
                <w:szCs w:val="24"/>
              </w:rPr>
            </w:pPr>
          </w:p>
          <w:p w14:paraId="212B9BE9" w14:textId="77777777" w:rsidR="00000000" w:rsidRDefault="00750C96">
            <w:pPr>
              <w:pStyle w:val="Prrafodelista"/>
              <w:ind w:left="0"/>
              <w:rPr>
                <w:rFonts w:ascii="Arial" w:hAnsi="Arial" w:cs="Arial"/>
                <w:bCs/>
                <w:iCs/>
                <w:sz w:val="24"/>
                <w:szCs w:val="24"/>
              </w:rPr>
            </w:pPr>
            <w:r>
              <w:rPr>
                <w:rFonts w:ascii="Arial" w:hAnsi="Arial" w:cs="Arial"/>
                <w:bCs/>
                <w:iCs/>
                <w:sz w:val="24"/>
                <w:szCs w:val="24"/>
              </w:rPr>
              <w:t>“Las fincas pecuarias incluidas en la NAMA ya son más de 1.700 y tenemos más de 130 familias guanacastecas produciendo hortalizas en un clima seco, donde antes parecía imposible.</w:t>
            </w:r>
          </w:p>
          <w:p w14:paraId="210909F8" w14:textId="77777777" w:rsidR="00000000" w:rsidRDefault="00750C96">
            <w:pPr>
              <w:pStyle w:val="Prrafodelista"/>
              <w:ind w:left="0"/>
              <w:jc w:val="both"/>
              <w:rPr>
                <w:rFonts w:ascii="Arial" w:hAnsi="Arial" w:cs="Arial"/>
                <w:bCs/>
                <w:iCs/>
                <w:sz w:val="24"/>
                <w:szCs w:val="24"/>
              </w:rPr>
            </w:pPr>
          </w:p>
          <w:p w14:paraId="72D03E24" w14:textId="77777777" w:rsidR="00000000" w:rsidRDefault="00750C96">
            <w:pPr>
              <w:pStyle w:val="Prrafodelista"/>
              <w:ind w:left="0"/>
              <w:jc w:val="both"/>
              <w:rPr>
                <w:rFonts w:ascii="Arial" w:hAnsi="Arial" w:cs="Arial"/>
                <w:bCs/>
                <w:iCs/>
                <w:sz w:val="24"/>
                <w:szCs w:val="24"/>
              </w:rPr>
            </w:pPr>
            <w:r>
              <w:rPr>
                <w:rFonts w:ascii="Arial" w:hAnsi="Arial" w:cs="Arial"/>
                <w:bCs/>
                <w:iCs/>
                <w:sz w:val="24"/>
                <w:szCs w:val="24"/>
              </w:rPr>
              <w:t>A eso sumamos las prácticas de sostenibilidad que están aplicando nuestros p</w:t>
            </w:r>
            <w:r>
              <w:rPr>
                <w:rFonts w:ascii="Arial" w:hAnsi="Arial" w:cs="Arial"/>
                <w:bCs/>
                <w:iCs/>
                <w:sz w:val="24"/>
                <w:szCs w:val="24"/>
              </w:rPr>
              <w:t>roductores de café. Ese trabajo nos hace afirmar que la producción agropecuaria en Costa Rica es cada vez más resiliente y está cada vez más adaptada a las condiciones de déficit hídrico”, explicó Renato Alvarado Rivera, ministro de Agricultura y Ganadería</w:t>
            </w:r>
            <w:r>
              <w:rPr>
                <w:rFonts w:ascii="Arial" w:hAnsi="Arial" w:cs="Arial"/>
                <w:bCs/>
                <w:iCs/>
                <w:sz w:val="24"/>
                <w:szCs w:val="24"/>
              </w:rPr>
              <w:t>.</w:t>
            </w:r>
          </w:p>
          <w:p w14:paraId="39ECDD1F" w14:textId="77777777" w:rsidR="00000000" w:rsidRDefault="00750C96">
            <w:pPr>
              <w:jc w:val="both"/>
              <w:rPr>
                <w:rFonts w:ascii="Arial" w:eastAsia="Arial" w:hAnsi="Arial" w:cs="Arial"/>
                <w:sz w:val="24"/>
                <w:szCs w:val="44"/>
                <w:lang w:val="es-ES" w:eastAsia="es-ES"/>
              </w:rPr>
            </w:pPr>
          </w:p>
          <w:p w14:paraId="4EEBB36C" w14:textId="77777777" w:rsidR="00000000" w:rsidRDefault="00750C96">
            <w:pPr>
              <w:jc w:val="both"/>
              <w:rPr>
                <w:rFonts w:ascii="Arial" w:eastAsia="Arial" w:hAnsi="Arial" w:cs="Arial"/>
                <w:sz w:val="24"/>
                <w:szCs w:val="44"/>
                <w:lang w:val="es-ES" w:eastAsia="es-ES"/>
              </w:rPr>
            </w:pPr>
          </w:p>
          <w:p w14:paraId="434F02D0" w14:textId="77777777" w:rsidR="00000000" w:rsidRDefault="00750C96">
            <w:pPr>
              <w:jc w:val="center"/>
              <w:rPr>
                <w:rFonts w:ascii="Arial" w:eastAsia="Arial" w:hAnsi="Arial" w:cs="Arial"/>
                <w:sz w:val="24"/>
                <w:szCs w:val="44"/>
                <w:lang w:val="es-ES" w:eastAsia="es-ES"/>
              </w:rPr>
            </w:pPr>
          </w:p>
          <w:p w14:paraId="492BB177" w14:textId="77777777" w:rsidR="00000000" w:rsidRDefault="00750C96">
            <w:pPr>
              <w:jc w:val="both"/>
              <w:rPr>
                <w:rFonts w:ascii="Arial" w:hAnsi="Arial" w:cs="Arial"/>
                <w:sz w:val="24"/>
                <w:lang w:val="es-ES"/>
              </w:rPr>
            </w:pPr>
          </w:p>
        </w:tc>
        <w:tc>
          <w:tcPr>
            <w:tcW w:w="269" w:type="dxa"/>
            <w:tcBorders>
              <w:top w:val="single" w:sz="4" w:space="0" w:color="auto"/>
              <w:left w:val="single" w:sz="4" w:space="0" w:color="auto"/>
              <w:bottom w:val="single" w:sz="4" w:space="0" w:color="auto"/>
              <w:right w:val="single" w:sz="4" w:space="0" w:color="auto"/>
            </w:tcBorders>
          </w:tcPr>
          <w:p w14:paraId="2C43FC25" w14:textId="77777777" w:rsidR="00000000" w:rsidRDefault="00750C96">
            <w:pPr>
              <w:spacing w:after="0" w:line="240" w:lineRule="auto"/>
              <w:jc w:val="center"/>
              <w:rPr>
                <w:bCs/>
                <w:color w:val="000000"/>
                <w:sz w:val="40"/>
                <w:szCs w:val="40"/>
                <w:lang w:eastAsia="es-CR"/>
              </w:rPr>
            </w:pPr>
          </w:p>
        </w:tc>
      </w:tr>
      <w:tr w:rsidR="00000000" w14:paraId="0A20214A" w14:textId="77777777">
        <w:tc>
          <w:tcPr>
            <w:tcW w:w="270" w:type="dxa"/>
            <w:tcBorders>
              <w:top w:val="single" w:sz="4" w:space="0" w:color="auto"/>
              <w:left w:val="single" w:sz="4" w:space="0" w:color="auto"/>
              <w:bottom w:val="single" w:sz="4" w:space="0" w:color="auto"/>
              <w:right w:val="single" w:sz="4" w:space="0" w:color="auto"/>
            </w:tcBorders>
          </w:tcPr>
          <w:p w14:paraId="22032AE6" w14:textId="77777777" w:rsidR="00000000" w:rsidRDefault="00750C96">
            <w:pPr>
              <w:spacing w:after="0" w:line="240" w:lineRule="auto"/>
              <w:jc w:val="center"/>
              <w:rPr>
                <w:bCs/>
                <w:color w:val="000000"/>
                <w:sz w:val="40"/>
                <w:szCs w:val="40"/>
                <w:lang w:eastAsia="es-CR"/>
              </w:rPr>
            </w:pPr>
            <w:bookmarkStart w:id="1" w:name="_heading=h.n79dcag5ambo"/>
            <w:bookmarkEnd w:id="1"/>
          </w:p>
        </w:tc>
        <w:tc>
          <w:tcPr>
            <w:tcW w:w="824" w:type="dxa"/>
            <w:tcBorders>
              <w:top w:val="single" w:sz="4" w:space="0" w:color="auto"/>
              <w:left w:val="single" w:sz="4" w:space="0" w:color="auto"/>
              <w:bottom w:val="single" w:sz="4" w:space="0" w:color="auto"/>
              <w:right w:val="single" w:sz="4" w:space="0" w:color="auto"/>
            </w:tcBorders>
          </w:tcPr>
          <w:p w14:paraId="6E918827" w14:textId="77777777" w:rsidR="00000000" w:rsidRDefault="00750C96">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60212EC3" w14:textId="77777777" w:rsidR="00000000" w:rsidRDefault="00750C96">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740BCC93" w14:textId="77777777" w:rsidR="00000000" w:rsidRDefault="00750C96">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03B40629" w14:textId="77777777" w:rsidR="00000000" w:rsidRDefault="00750C96">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2C5D15F5" w14:textId="77777777" w:rsidR="00000000" w:rsidRDefault="00750C96">
            <w:pPr>
              <w:spacing w:after="0" w:line="240" w:lineRule="auto"/>
              <w:jc w:val="center"/>
              <w:rPr>
                <w:bCs/>
                <w:color w:val="000000"/>
                <w:sz w:val="40"/>
                <w:szCs w:val="40"/>
                <w:lang w:eastAsia="es-CR"/>
              </w:rPr>
            </w:pPr>
          </w:p>
        </w:tc>
      </w:tr>
    </w:tbl>
    <w:p w14:paraId="0DA9B9BA" w14:textId="77777777" w:rsidR="00000000" w:rsidRDefault="00750C96">
      <w:pPr>
        <w:jc w:val="right"/>
        <w:rPr>
          <w:rFonts w:cstheme="minorHAnsi"/>
          <w:bCs/>
          <w:sz w:val="20"/>
          <w:szCs w:val="20"/>
        </w:rPr>
      </w:pPr>
    </w:p>
    <w:sectPr w:rsidR="00000000">
      <w:headerReference w:type="default" r:id="rId13"/>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B63C1" w14:textId="77777777" w:rsidR="00000000" w:rsidRDefault="00750C96">
      <w:pPr>
        <w:spacing w:after="0" w:line="240" w:lineRule="auto"/>
      </w:pPr>
      <w:r>
        <w:separator/>
      </w:r>
    </w:p>
  </w:endnote>
  <w:endnote w:type="continuationSeparator" w:id="0">
    <w:p w14:paraId="17E76DE3" w14:textId="77777777" w:rsidR="00000000" w:rsidRDefault="0075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D67E8" w14:textId="77777777" w:rsidR="00000000" w:rsidRDefault="00750C96">
      <w:pPr>
        <w:spacing w:after="0" w:line="240" w:lineRule="auto"/>
      </w:pPr>
      <w:r>
        <w:separator/>
      </w:r>
    </w:p>
  </w:footnote>
  <w:footnote w:type="continuationSeparator" w:id="0">
    <w:p w14:paraId="0FDE1610" w14:textId="77777777" w:rsidR="00000000" w:rsidRDefault="00750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42AB" w14:textId="77777777" w:rsidR="00000000" w:rsidRDefault="00750C96">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381B8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C482B74"/>
    <w:multiLevelType w:val="multilevel"/>
    <w:tmpl w:val="8DC6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0939838">
    <w:abstractNumId w:val="0"/>
  </w:num>
  <w:num w:numId="2" w16cid:durableId="1319572527">
    <w:abstractNumId w:val="0"/>
  </w:num>
  <w:num w:numId="3" w16cid:durableId="1979335394">
    <w:abstractNumId w:val="0"/>
    <w:lvlOverride w:ilvl="0"/>
  </w:num>
  <w:num w:numId="4" w16cid:durableId="1689062425">
    <w:abstractNumId w:val="1"/>
  </w:num>
  <w:num w:numId="5" w16cid:durableId="128712708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96"/>
    <w:rsid w:val="00750C96"/>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322B471"/>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semiHidden/>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style>
  <w:style w:type="paragraph" w:styleId="Descripcin">
    <w:name w:val="caption"/>
    <w:basedOn w:val="Normal"/>
    <w:next w:val="Normal"/>
    <w:uiPriority w:val="99"/>
    <w:semiHidden/>
    <w:unhideWhenUsed/>
    <w:qFormat/>
    <w:pPr>
      <w:spacing w:after="0" w:line="240" w:lineRule="auto"/>
      <w:jc w:val="right"/>
    </w:pPr>
    <w:rPr>
      <w:rFonts w:ascii="Comic Sans MS" w:eastAsia="Times New Roman" w:hAnsi="Comic Sans MS" w:cs="Times New Roman"/>
      <w:b/>
      <w:i/>
      <w:sz w:val="24"/>
      <w:szCs w:val="20"/>
      <w:lang w:val="es-ES_tradnl" w:eastAsia="es-ES"/>
    </w:rPr>
  </w:style>
  <w:style w:type="paragraph" w:styleId="Listaconvietas">
    <w:name w:val="List Bullet"/>
    <w:basedOn w:val="Normal"/>
    <w:uiPriority w:val="99"/>
    <w:semiHidden/>
    <w:unhideWhenUsed/>
    <w:pPr>
      <w:numPr>
        <w:numId w:val="3"/>
      </w:numPr>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hAnsi="Segoe UI" w:cs="Segoe UI" w:hint="default"/>
      <w:sz w:val="18"/>
      <w:szCs w:val="18"/>
    </w:rPr>
  </w:style>
  <w:style w:type="paragraph" w:styleId="Sinespaciado">
    <w:name w:val="No Spacing"/>
    <w:uiPriority w:val="1"/>
    <w:semiHidden/>
    <w:qFormat/>
    <w:rPr>
      <w:sz w:val="22"/>
      <w:szCs w:val="22"/>
    </w:rPr>
  </w:style>
  <w:style w:type="paragraph" w:styleId="Prrafodelista">
    <w:name w:val="List Paragraph"/>
    <w:basedOn w:val="Normal"/>
    <w:uiPriority w:val="34"/>
    <w:semiHidden/>
    <w:qFormat/>
    <w:pPr>
      <w:ind w:left="720"/>
      <w:contextualSpacing/>
    </w:pPr>
  </w:style>
  <w:style w:type="paragraph" w:customStyle="1" w:styleId="Default">
    <w:name w:val="Default"/>
    <w:uiPriority w:val="99"/>
    <w:semiHidden/>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Pr>
      <w:rFonts w:ascii="Arial" w:eastAsia="Arial" w:hAnsi="Arial" w:cs="Arial"/>
      <w:sz w:val="22"/>
      <w:szCs w:val="22"/>
      <w:lang w:eastAsia="es-ES_trad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21">
    <w:name w:val="Tabla de cuadrícula 4 - Énfasis 21"/>
    <w:basedOn w:val="Tablanormal"/>
    <w:uiPriority w:val="49"/>
    <w:rPr>
      <w:sz w:val="22"/>
      <w:szCs w:val="22"/>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41">
    <w:name w:val="Tabla de cuadrícula 4 - Énfasis 41"/>
    <w:basedOn w:val="Tablanormal"/>
    <w:uiPriority w:val="49"/>
    <w:rPr>
      <w:sz w:val="22"/>
      <w:szCs w:val="22"/>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1D2FF-81AC-4EAD-BA32-0B4CC6AD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1298</Words>
  <Characters>7144</Characters>
  <Application>Microsoft Office Word</Application>
  <DocSecurity>0</DocSecurity>
  <Lines>59</Lines>
  <Paragraphs>16</Paragraphs>
  <ScaleCrop>false</ScaleCrop>
  <Company>Microsoft</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Hidalgo Madrigal</dc:creator>
  <cp:keywords/>
  <dc:description/>
  <cp:lastModifiedBy>David Eduarte Vargas</cp:lastModifiedBy>
  <cp:revision>2</cp:revision>
  <cp:lastPrinted>2019-08-06T21:41:00Z</cp:lastPrinted>
  <dcterms:created xsi:type="dcterms:W3CDTF">2022-05-13T20:55:00Z</dcterms:created>
  <dcterms:modified xsi:type="dcterms:W3CDTF">2022-05-13T20:55:00Z</dcterms:modified>
</cp:coreProperties>
</file>